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85239">
      <w:pPr>
        <w:widowControl/>
        <w:spacing w:line="560" w:lineRule="exact"/>
        <w:jc w:val="center"/>
        <w:rPr>
          <w:rFonts w:eastAsia="方正小标宋简体"/>
          <w:bCs/>
          <w:sz w:val="44"/>
          <w:szCs w:val="44"/>
        </w:rPr>
      </w:pPr>
      <w:r>
        <w:rPr>
          <w:rFonts w:hint="eastAsia" w:eastAsia="方正小标宋简体"/>
          <w:bCs/>
          <w:sz w:val="44"/>
          <w:szCs w:val="44"/>
          <w:lang w:val="en-US" w:eastAsia="zh-CN"/>
        </w:rPr>
        <w:t>原创性高质量</w:t>
      </w:r>
      <w:r>
        <w:rPr>
          <w:rFonts w:hint="eastAsia" w:eastAsia="方正小标宋简体"/>
          <w:bCs/>
          <w:sz w:val="44"/>
          <w:szCs w:val="44"/>
        </w:rPr>
        <w:t>团体标准《</w:t>
      </w:r>
      <w:r>
        <w:rPr>
          <w:rFonts w:hint="eastAsia" w:eastAsia="方正小标宋简体"/>
          <w:sz w:val="44"/>
          <w:szCs w:val="44"/>
        </w:rPr>
        <w:t xml:space="preserve">南宁老友粉原料 </w:t>
      </w:r>
      <w:r>
        <w:rPr>
          <w:rFonts w:hint="eastAsia" w:eastAsia="方正小标宋简体"/>
          <w:sz w:val="44"/>
          <w:szCs w:val="44"/>
          <w:lang w:val="en-US" w:eastAsia="zh-CN"/>
        </w:rPr>
        <w:t xml:space="preserve"> </w:t>
      </w:r>
      <w:r>
        <w:rPr>
          <w:rFonts w:hint="eastAsia" w:eastAsia="方正小标宋简体"/>
          <w:sz w:val="44"/>
          <w:szCs w:val="44"/>
        </w:rPr>
        <w:t>竹笋</w:t>
      </w:r>
      <w:r>
        <w:rPr>
          <w:rFonts w:hint="eastAsia" w:eastAsia="方正小标宋简体"/>
          <w:bCs/>
          <w:sz w:val="44"/>
          <w:szCs w:val="44"/>
        </w:rPr>
        <w:t>》（征求意见稿）编制说明</w:t>
      </w:r>
    </w:p>
    <w:p w14:paraId="70273F41">
      <w:pPr>
        <w:rPr>
          <w:rFonts w:hint="eastAsia" w:ascii="宋体" w:hAnsi="宋体"/>
          <w:sz w:val="24"/>
          <w:szCs w:val="24"/>
        </w:rPr>
      </w:pPr>
    </w:p>
    <w:p w14:paraId="2CB285B1">
      <w:pPr>
        <w:numPr>
          <w:ilvl w:val="0"/>
          <w:numId w:val="2"/>
        </w:numPr>
        <w:overflowPunct w:val="0"/>
        <w:topLinePunct/>
        <w:spacing w:line="560" w:lineRule="exact"/>
        <w:outlineLvl w:val="0"/>
        <w:rPr>
          <w:rFonts w:eastAsia="黑体"/>
          <w:bCs/>
          <w:sz w:val="32"/>
          <w:szCs w:val="32"/>
        </w:rPr>
      </w:pPr>
      <w:r>
        <w:rPr>
          <w:rFonts w:hint="eastAsia" w:eastAsia="黑体"/>
          <w:bCs/>
          <w:sz w:val="32"/>
          <w:szCs w:val="32"/>
        </w:rPr>
        <w:t>任务来源</w:t>
      </w:r>
      <w:r>
        <w:rPr>
          <w:rFonts w:hint="eastAsia" w:eastAsia="黑体"/>
          <w:bCs/>
          <w:sz w:val="32"/>
          <w:szCs w:val="32"/>
          <w:lang w:eastAsia="zh-CN"/>
        </w:rPr>
        <w:t>、</w:t>
      </w:r>
      <w:r>
        <w:rPr>
          <w:rFonts w:hint="eastAsia" w:eastAsia="黑体"/>
          <w:bCs/>
          <w:sz w:val="32"/>
          <w:szCs w:val="32"/>
          <w:lang w:val="en-US" w:eastAsia="zh-CN"/>
        </w:rPr>
        <w:t>起草单位、起草人</w:t>
      </w:r>
    </w:p>
    <w:p w14:paraId="57BFB27D">
      <w:pPr>
        <w:overflowPunct w:val="0"/>
        <w:topLinePunct/>
        <w:spacing w:line="560" w:lineRule="exact"/>
        <w:ind w:firstLine="640"/>
        <w:rPr>
          <w:rFonts w:hint="eastAsia" w:eastAsia="仿宋_GB2312"/>
          <w:sz w:val="32"/>
          <w:szCs w:val="32"/>
        </w:rPr>
      </w:pPr>
      <w:r>
        <w:rPr>
          <w:rFonts w:hint="eastAsia" w:eastAsia="仿宋_GB2312" w:cs="Times New Roman"/>
          <w:sz w:val="32"/>
          <w:szCs w:val="32"/>
        </w:rPr>
        <w:t>根据《广西标准化协会关于下达2024年第三十四批团体标准制修订项目计划的通知》（桂标协〔2024〕246号）精神，由南宁市林业局提出，由南宁市林业科学研究所、广西壮族自治区林业科学研究院、南宁市老友粉协会、广西复记食品科技有限公司、广西穗良甜竹科技有限公司、广西南宁市韩太食品有限责任公司、横州市威和食品有限公司</w:t>
      </w:r>
      <w:r>
        <w:rPr>
          <w:rFonts w:hint="eastAsia" w:eastAsia="仿宋_GB2312"/>
          <w:sz w:val="32"/>
          <w:szCs w:val="32"/>
        </w:rPr>
        <w:t>等单位共同起草的团体标准《南宁老友粉原料 竹笋》（项目编号：2024-3406）已获立项。</w:t>
      </w:r>
    </w:p>
    <w:p w14:paraId="4E40D34F">
      <w:pPr>
        <w:pStyle w:val="13"/>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为高质量编制团体标准《南宁老友粉原料 竹笋》，由起草单位成立标准编制工作组并进行如下分工：</w:t>
      </w:r>
    </w:p>
    <w:tbl>
      <w:tblPr>
        <w:tblStyle w:val="8"/>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107"/>
        <w:gridCol w:w="1424"/>
        <w:gridCol w:w="1995"/>
        <w:gridCol w:w="2688"/>
        <w:gridCol w:w="1634"/>
      </w:tblGrid>
      <w:tr w14:paraId="0A1FFEA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03E7D93C">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姓名</w:t>
            </w:r>
          </w:p>
        </w:tc>
        <w:tc>
          <w:tcPr>
            <w:tcW w:w="804" w:type="pct"/>
            <w:tcBorders>
              <w:top w:val="single" w:color="auto" w:sz="8" w:space="0"/>
              <w:bottom w:val="single" w:color="auto" w:sz="8" w:space="0"/>
            </w:tcBorders>
            <w:noWrap w:val="0"/>
            <w:vAlign w:val="center"/>
          </w:tcPr>
          <w:p w14:paraId="3F5AC83B">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职务/职称</w:t>
            </w:r>
          </w:p>
        </w:tc>
        <w:tc>
          <w:tcPr>
            <w:tcW w:w="1127" w:type="pct"/>
            <w:tcBorders>
              <w:top w:val="single" w:color="auto" w:sz="8" w:space="0"/>
              <w:bottom w:val="single" w:color="auto" w:sz="8" w:space="0"/>
            </w:tcBorders>
            <w:noWrap w:val="0"/>
            <w:vAlign w:val="center"/>
          </w:tcPr>
          <w:p w14:paraId="4E173245">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从事专业</w:t>
            </w:r>
          </w:p>
        </w:tc>
        <w:tc>
          <w:tcPr>
            <w:tcW w:w="1518" w:type="pct"/>
            <w:tcBorders>
              <w:top w:val="single" w:color="auto" w:sz="8" w:space="0"/>
              <w:bottom w:val="single" w:color="auto" w:sz="8" w:space="0"/>
            </w:tcBorders>
            <w:noWrap w:val="0"/>
            <w:vAlign w:val="center"/>
          </w:tcPr>
          <w:p w14:paraId="426CCAEE">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工作单位</w:t>
            </w:r>
          </w:p>
        </w:tc>
        <w:tc>
          <w:tcPr>
            <w:tcW w:w="923" w:type="pct"/>
            <w:tcBorders>
              <w:top w:val="single" w:color="auto" w:sz="8" w:space="0"/>
              <w:bottom w:val="single" w:color="auto" w:sz="8" w:space="0"/>
            </w:tcBorders>
            <w:noWrap w:val="0"/>
            <w:vAlign w:val="center"/>
          </w:tcPr>
          <w:p w14:paraId="3CA8D2C5">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责任分工</w:t>
            </w:r>
          </w:p>
        </w:tc>
      </w:tr>
      <w:tr w14:paraId="09546D2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03" w:hRule="atLeast"/>
        </w:trPr>
        <w:tc>
          <w:tcPr>
            <w:tcW w:w="625" w:type="pct"/>
            <w:tcBorders>
              <w:top w:val="single" w:color="auto" w:sz="8" w:space="0"/>
              <w:bottom w:val="single" w:color="auto" w:sz="8" w:space="0"/>
            </w:tcBorders>
            <w:noWrap w:val="0"/>
            <w:vAlign w:val="center"/>
          </w:tcPr>
          <w:p w14:paraId="61A21CA5">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sz w:val="21"/>
                <w:szCs w:val="21"/>
              </w:rPr>
              <w:t>唐国强</w:t>
            </w:r>
          </w:p>
        </w:tc>
        <w:tc>
          <w:tcPr>
            <w:tcW w:w="804" w:type="pct"/>
            <w:tcBorders>
              <w:top w:val="single" w:color="auto" w:sz="8" w:space="0"/>
              <w:bottom w:val="single" w:color="auto" w:sz="8" w:space="0"/>
            </w:tcBorders>
            <w:noWrap w:val="0"/>
            <w:vAlign w:val="center"/>
          </w:tcPr>
          <w:p w14:paraId="1E62429A">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1"/>
                <w:szCs w:val="21"/>
                <w:lang w:val="en-US" w:eastAsia="zh-CN"/>
              </w:rPr>
            </w:pPr>
            <w:r>
              <w:rPr>
                <w:rFonts w:hint="eastAsia" w:ascii="宋体" w:hAnsi="宋体"/>
                <w:sz w:val="21"/>
                <w:szCs w:val="21"/>
              </w:rPr>
              <w:t>副所长/高级工程师</w:t>
            </w:r>
          </w:p>
        </w:tc>
        <w:tc>
          <w:tcPr>
            <w:tcW w:w="1127" w:type="pct"/>
            <w:tcBorders>
              <w:top w:val="single" w:color="auto" w:sz="8" w:space="0"/>
              <w:bottom w:val="single" w:color="auto" w:sz="8" w:space="0"/>
            </w:tcBorders>
            <w:noWrap w:val="0"/>
            <w:vAlign w:val="center"/>
          </w:tcPr>
          <w:p w14:paraId="1EC49F27">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林木育种</w:t>
            </w:r>
          </w:p>
        </w:tc>
        <w:tc>
          <w:tcPr>
            <w:tcW w:w="1518" w:type="pct"/>
            <w:tcBorders>
              <w:top w:val="single" w:color="auto" w:sz="8" w:space="0"/>
              <w:bottom w:val="single" w:color="auto" w:sz="8" w:space="0"/>
            </w:tcBorders>
            <w:noWrap w:val="0"/>
            <w:vAlign w:val="center"/>
          </w:tcPr>
          <w:p w14:paraId="1AABEF89">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4FFB59A8">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1"/>
                <w:szCs w:val="21"/>
                <w:lang w:val="en-US" w:eastAsia="zh-CN"/>
              </w:rPr>
            </w:pPr>
            <w:r>
              <w:rPr>
                <w:rFonts w:hint="eastAsia" w:ascii="仿宋_GB2312" w:hAnsi="仿宋_GB2312" w:eastAsia="仿宋_GB2312" w:cs="仿宋_GB2312"/>
                <w:sz w:val="21"/>
                <w:szCs w:val="21"/>
                <w:lang w:val="en-US" w:eastAsia="zh-CN"/>
              </w:rPr>
              <w:t>项目统筹、试验数据处理</w:t>
            </w:r>
          </w:p>
        </w:tc>
      </w:tr>
      <w:tr w14:paraId="318C3E6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2332465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sz w:val="21"/>
                <w:szCs w:val="21"/>
              </w:rPr>
              <w:t>黄大勇</w:t>
            </w:r>
          </w:p>
        </w:tc>
        <w:tc>
          <w:tcPr>
            <w:tcW w:w="804" w:type="pct"/>
            <w:tcBorders>
              <w:top w:val="single" w:color="auto" w:sz="8" w:space="0"/>
              <w:bottom w:val="single" w:color="auto" w:sz="8" w:space="0"/>
            </w:tcBorders>
            <w:noWrap w:val="0"/>
            <w:vAlign w:val="center"/>
          </w:tcPr>
          <w:p w14:paraId="708CA07D">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1"/>
                <w:szCs w:val="21"/>
                <w:lang w:val="en-US" w:eastAsia="zh-CN"/>
              </w:rPr>
            </w:pPr>
            <w:r>
              <w:rPr>
                <w:rFonts w:hint="eastAsia" w:ascii="宋体" w:hAnsi="宋体"/>
                <w:sz w:val="21"/>
                <w:szCs w:val="21"/>
              </w:rPr>
              <w:t>正高级工程师</w:t>
            </w:r>
          </w:p>
        </w:tc>
        <w:tc>
          <w:tcPr>
            <w:tcW w:w="1127" w:type="pct"/>
            <w:tcBorders>
              <w:top w:val="single" w:color="auto" w:sz="8" w:space="0"/>
              <w:bottom w:val="single" w:color="auto" w:sz="8" w:space="0"/>
            </w:tcBorders>
            <w:noWrap w:val="0"/>
            <w:vAlign w:val="center"/>
          </w:tcPr>
          <w:p w14:paraId="3DAB89E8">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竹类研究</w:t>
            </w:r>
          </w:p>
        </w:tc>
        <w:tc>
          <w:tcPr>
            <w:tcW w:w="1518" w:type="pct"/>
            <w:tcBorders>
              <w:top w:val="single" w:color="auto" w:sz="8" w:space="0"/>
              <w:bottom w:val="single" w:color="auto" w:sz="8" w:space="0"/>
            </w:tcBorders>
            <w:noWrap w:val="0"/>
            <w:vAlign w:val="center"/>
          </w:tcPr>
          <w:p w14:paraId="4F05B563">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广西壮族自治区林业科学研究院</w:t>
            </w:r>
          </w:p>
        </w:tc>
        <w:tc>
          <w:tcPr>
            <w:tcW w:w="923" w:type="pct"/>
            <w:tcBorders>
              <w:top w:val="single" w:color="auto" w:sz="8" w:space="0"/>
              <w:bottom w:val="single" w:color="auto" w:sz="8" w:space="0"/>
            </w:tcBorders>
            <w:noWrap w:val="0"/>
            <w:vAlign w:val="center"/>
          </w:tcPr>
          <w:p w14:paraId="114B2AFD">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指导项目设计、立项申报、组织撰写、验收、发布等。</w:t>
            </w:r>
          </w:p>
        </w:tc>
      </w:tr>
      <w:tr w14:paraId="00C89F1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1B75EE77">
            <w:pPr>
              <w:keepNext w:val="0"/>
              <w:keepLines w:val="0"/>
              <w:suppressLineNumbers w:val="0"/>
              <w:spacing w:before="0" w:beforeAutospacing="0" w:after="0" w:afterAutospacing="0"/>
              <w:ind w:left="0" w:right="0"/>
              <w:jc w:val="center"/>
              <w:rPr>
                <w:rFonts w:hint="eastAsia" w:ascii="Calibri" w:hAnsi="Calibri" w:eastAsia="宋体" w:cs="Times New Roman"/>
                <w:color w:val="000000"/>
                <w:kern w:val="2"/>
                <w:sz w:val="21"/>
                <w:szCs w:val="21"/>
                <w:lang w:val="en-US" w:eastAsia="zh-CN" w:bidi="ar"/>
              </w:rPr>
            </w:pPr>
            <w:r>
              <w:rPr>
                <w:rFonts w:hint="eastAsia"/>
                <w:sz w:val="21"/>
                <w:szCs w:val="21"/>
              </w:rPr>
              <w:t>吴远媚</w:t>
            </w:r>
          </w:p>
        </w:tc>
        <w:tc>
          <w:tcPr>
            <w:tcW w:w="804" w:type="pct"/>
            <w:tcBorders>
              <w:top w:val="single" w:color="auto" w:sz="8" w:space="0"/>
              <w:bottom w:val="single" w:color="auto" w:sz="8" w:space="0"/>
            </w:tcBorders>
            <w:noWrap w:val="0"/>
            <w:vAlign w:val="center"/>
          </w:tcPr>
          <w:p w14:paraId="5D7D285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宋体" w:hAnsi="宋体"/>
                <w:sz w:val="21"/>
                <w:szCs w:val="21"/>
              </w:rPr>
              <w:t>副所长/高级工程师</w:t>
            </w:r>
          </w:p>
        </w:tc>
        <w:tc>
          <w:tcPr>
            <w:tcW w:w="1127" w:type="pct"/>
            <w:tcBorders>
              <w:top w:val="single" w:color="auto" w:sz="8" w:space="0"/>
              <w:bottom w:val="single" w:color="auto" w:sz="8" w:space="0"/>
            </w:tcBorders>
            <w:noWrap w:val="0"/>
            <w:vAlign w:val="center"/>
          </w:tcPr>
          <w:p w14:paraId="755AA494">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森林培育</w:t>
            </w:r>
          </w:p>
        </w:tc>
        <w:tc>
          <w:tcPr>
            <w:tcW w:w="1518" w:type="pct"/>
            <w:tcBorders>
              <w:top w:val="single" w:color="auto" w:sz="8" w:space="0"/>
              <w:bottom w:val="single" w:color="auto" w:sz="8" w:space="0"/>
            </w:tcBorders>
            <w:noWrap w:val="0"/>
            <w:vAlign w:val="center"/>
          </w:tcPr>
          <w:p w14:paraId="63306DBE">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00724C6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指导项目设计、立项申报、参与撰写等</w:t>
            </w:r>
          </w:p>
        </w:tc>
      </w:tr>
      <w:tr w14:paraId="71A65C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009F5324">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sz w:val="21"/>
                <w:szCs w:val="21"/>
              </w:rPr>
              <w:t>蒙兰杨</w:t>
            </w:r>
          </w:p>
        </w:tc>
        <w:tc>
          <w:tcPr>
            <w:tcW w:w="804" w:type="pct"/>
            <w:tcBorders>
              <w:top w:val="single" w:color="auto" w:sz="8" w:space="0"/>
              <w:bottom w:val="single" w:color="auto" w:sz="8" w:space="0"/>
            </w:tcBorders>
            <w:noWrap w:val="0"/>
            <w:vAlign w:val="center"/>
          </w:tcPr>
          <w:p w14:paraId="2290BAD3">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lang w:val="en-US" w:eastAsia="zh-CN"/>
              </w:rPr>
            </w:pPr>
            <w:r>
              <w:rPr>
                <w:rFonts w:hint="eastAsia" w:ascii="宋体" w:hAnsi="宋体"/>
                <w:sz w:val="21"/>
                <w:szCs w:val="21"/>
              </w:rPr>
              <w:t>工程师</w:t>
            </w:r>
          </w:p>
        </w:tc>
        <w:tc>
          <w:tcPr>
            <w:tcW w:w="1127" w:type="pct"/>
            <w:tcBorders>
              <w:top w:val="single" w:color="auto" w:sz="8" w:space="0"/>
              <w:bottom w:val="single" w:color="auto" w:sz="8" w:space="0"/>
            </w:tcBorders>
            <w:noWrap w:val="0"/>
            <w:vAlign w:val="center"/>
          </w:tcPr>
          <w:p w14:paraId="62403FB0">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森林培育</w:t>
            </w:r>
          </w:p>
        </w:tc>
        <w:tc>
          <w:tcPr>
            <w:tcW w:w="1518" w:type="pct"/>
            <w:tcBorders>
              <w:top w:val="single" w:color="auto" w:sz="8" w:space="0"/>
              <w:bottom w:val="single" w:color="auto" w:sz="8" w:space="0"/>
            </w:tcBorders>
            <w:noWrap w:val="0"/>
            <w:vAlign w:val="center"/>
          </w:tcPr>
          <w:p w14:paraId="29DFC280">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31ADF54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指导项目设计、立项申报、参与撰写等。</w:t>
            </w:r>
          </w:p>
        </w:tc>
      </w:tr>
      <w:tr w14:paraId="2F5103C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75793968">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李立杰</w:t>
            </w:r>
          </w:p>
        </w:tc>
        <w:tc>
          <w:tcPr>
            <w:tcW w:w="804" w:type="pct"/>
            <w:tcBorders>
              <w:top w:val="single" w:color="auto" w:sz="8" w:space="0"/>
              <w:bottom w:val="single" w:color="auto" w:sz="8" w:space="0"/>
            </w:tcBorders>
            <w:noWrap w:val="0"/>
            <w:vAlign w:val="center"/>
          </w:tcPr>
          <w:p w14:paraId="6D26E23B">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1"/>
                <w:szCs w:val="21"/>
                <w:lang w:val="en-US" w:eastAsia="zh-CN" w:bidi="ar-SA"/>
              </w:rPr>
            </w:pPr>
            <w:r>
              <w:rPr>
                <w:rFonts w:hint="eastAsia" w:ascii="宋体" w:hAnsi="宋体"/>
                <w:sz w:val="21"/>
                <w:szCs w:val="21"/>
              </w:rPr>
              <w:t>高级工程师</w:t>
            </w:r>
          </w:p>
        </w:tc>
        <w:tc>
          <w:tcPr>
            <w:tcW w:w="1127" w:type="pct"/>
            <w:tcBorders>
              <w:top w:val="single" w:color="auto" w:sz="8" w:space="0"/>
              <w:bottom w:val="single" w:color="auto" w:sz="8" w:space="0"/>
            </w:tcBorders>
            <w:noWrap w:val="0"/>
            <w:vAlign w:val="center"/>
          </w:tcPr>
          <w:p w14:paraId="103F9E52">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竹类研究</w:t>
            </w:r>
          </w:p>
        </w:tc>
        <w:tc>
          <w:tcPr>
            <w:tcW w:w="1518" w:type="pct"/>
            <w:tcBorders>
              <w:top w:val="single" w:color="auto" w:sz="8" w:space="0"/>
              <w:bottom w:val="single" w:color="auto" w:sz="8" w:space="0"/>
            </w:tcBorders>
            <w:noWrap w:val="0"/>
            <w:vAlign w:val="center"/>
          </w:tcPr>
          <w:p w14:paraId="6C900BFB">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广西壮族自治区林业科学研究院</w:t>
            </w:r>
          </w:p>
        </w:tc>
        <w:tc>
          <w:tcPr>
            <w:tcW w:w="923" w:type="pct"/>
            <w:tcBorders>
              <w:top w:val="single" w:color="auto" w:sz="8" w:space="0"/>
              <w:bottom w:val="single" w:color="auto" w:sz="8" w:space="0"/>
            </w:tcBorders>
            <w:noWrap w:val="0"/>
            <w:vAlign w:val="center"/>
          </w:tcPr>
          <w:p w14:paraId="3565097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指导项目设计、立项申报、参与撰写等。</w:t>
            </w:r>
          </w:p>
        </w:tc>
      </w:tr>
      <w:tr w14:paraId="3BD3AF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6E14BE9B">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1"/>
                <w:szCs w:val="21"/>
                <w:lang w:val="en-US" w:eastAsia="zh-CN"/>
              </w:rPr>
            </w:pPr>
            <w:r>
              <w:rPr>
                <w:rFonts w:hint="eastAsia"/>
                <w:sz w:val="21"/>
                <w:szCs w:val="21"/>
              </w:rPr>
              <w:t>颜燕</w:t>
            </w:r>
          </w:p>
        </w:tc>
        <w:tc>
          <w:tcPr>
            <w:tcW w:w="804" w:type="pct"/>
            <w:tcBorders>
              <w:top w:val="single" w:color="auto" w:sz="8" w:space="0"/>
              <w:bottom w:val="single" w:color="auto" w:sz="8" w:space="0"/>
            </w:tcBorders>
            <w:noWrap w:val="0"/>
            <w:vAlign w:val="center"/>
          </w:tcPr>
          <w:p w14:paraId="206F51D1">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1"/>
                <w:szCs w:val="21"/>
                <w:lang w:val="en-US" w:eastAsia="zh-CN"/>
              </w:rPr>
            </w:pPr>
            <w:r>
              <w:rPr>
                <w:rFonts w:hint="eastAsia" w:ascii="宋体" w:hAnsi="宋体"/>
                <w:sz w:val="21"/>
                <w:szCs w:val="21"/>
              </w:rPr>
              <w:t>技术员</w:t>
            </w:r>
          </w:p>
        </w:tc>
        <w:tc>
          <w:tcPr>
            <w:tcW w:w="1127" w:type="pct"/>
            <w:tcBorders>
              <w:top w:val="single" w:color="auto" w:sz="8" w:space="0"/>
              <w:bottom w:val="single" w:color="auto" w:sz="8" w:space="0"/>
            </w:tcBorders>
            <w:noWrap w:val="0"/>
            <w:vAlign w:val="center"/>
          </w:tcPr>
          <w:p w14:paraId="3527554B">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森林培育</w:t>
            </w:r>
          </w:p>
        </w:tc>
        <w:tc>
          <w:tcPr>
            <w:tcW w:w="1518" w:type="pct"/>
            <w:tcBorders>
              <w:top w:val="single" w:color="auto" w:sz="8" w:space="0"/>
              <w:bottom w:val="single" w:color="auto" w:sz="8" w:space="0"/>
            </w:tcBorders>
            <w:noWrap w:val="0"/>
            <w:vAlign w:val="center"/>
          </w:tcPr>
          <w:p w14:paraId="4D489F21">
            <w:pPr>
              <w:keepNext w:val="0"/>
              <w:keepLines w:val="0"/>
              <w:suppressLineNumbers w:val="0"/>
              <w:spacing w:before="0" w:beforeAutospacing="0" w:after="0" w:afterAutospacing="0"/>
              <w:ind w:left="0" w:right="0"/>
              <w:jc w:val="center"/>
              <w:rPr>
                <w:rFonts w:hint="default"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1BE66CB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数据资料收集、标准起草、撰写。</w:t>
            </w:r>
          </w:p>
        </w:tc>
      </w:tr>
      <w:tr w14:paraId="56FEC9F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451A0A42">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1"/>
                <w:szCs w:val="21"/>
                <w:lang w:val="en-US" w:eastAsia="zh-CN"/>
              </w:rPr>
            </w:pPr>
            <w:r>
              <w:rPr>
                <w:rFonts w:hint="eastAsia"/>
                <w:sz w:val="21"/>
                <w:szCs w:val="21"/>
              </w:rPr>
              <w:t>梁君霞</w:t>
            </w:r>
          </w:p>
        </w:tc>
        <w:tc>
          <w:tcPr>
            <w:tcW w:w="804" w:type="pct"/>
            <w:tcBorders>
              <w:top w:val="single" w:color="auto" w:sz="8" w:space="0"/>
              <w:bottom w:val="single" w:color="auto" w:sz="8" w:space="0"/>
            </w:tcBorders>
            <w:noWrap w:val="0"/>
            <w:vAlign w:val="center"/>
          </w:tcPr>
          <w:p w14:paraId="0D0FE7D9">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1"/>
                <w:szCs w:val="21"/>
                <w:lang w:val="en-US" w:eastAsia="zh-CN"/>
              </w:rPr>
            </w:pPr>
            <w:r>
              <w:rPr>
                <w:rFonts w:hint="eastAsia" w:ascii="宋体" w:hAnsi="宋体"/>
                <w:sz w:val="21"/>
                <w:szCs w:val="21"/>
              </w:rPr>
              <w:t>工程师</w:t>
            </w:r>
          </w:p>
        </w:tc>
        <w:tc>
          <w:tcPr>
            <w:tcW w:w="1127" w:type="pct"/>
            <w:tcBorders>
              <w:top w:val="single" w:color="auto" w:sz="8" w:space="0"/>
              <w:bottom w:val="single" w:color="auto" w:sz="8" w:space="0"/>
            </w:tcBorders>
            <w:noWrap w:val="0"/>
            <w:vAlign w:val="center"/>
          </w:tcPr>
          <w:p w14:paraId="5E5EF17C">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森林培育</w:t>
            </w:r>
          </w:p>
        </w:tc>
        <w:tc>
          <w:tcPr>
            <w:tcW w:w="1518" w:type="pct"/>
            <w:tcBorders>
              <w:top w:val="single" w:color="auto" w:sz="8" w:space="0"/>
              <w:bottom w:val="single" w:color="auto" w:sz="8" w:space="0"/>
            </w:tcBorders>
            <w:noWrap w:val="0"/>
            <w:vAlign w:val="center"/>
          </w:tcPr>
          <w:p w14:paraId="65E77D4E">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1A1A61AD">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数据资料收集、标准起草、撰写。</w:t>
            </w:r>
          </w:p>
        </w:tc>
      </w:tr>
      <w:tr w14:paraId="3150FE9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213F0DF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lang w:val="en-US" w:eastAsia="zh-CN"/>
              </w:rPr>
            </w:pPr>
            <w:r>
              <w:rPr>
                <w:rFonts w:hint="eastAsia"/>
                <w:sz w:val="21"/>
                <w:szCs w:val="21"/>
              </w:rPr>
              <w:t>唐启乐</w:t>
            </w:r>
          </w:p>
        </w:tc>
        <w:tc>
          <w:tcPr>
            <w:tcW w:w="804" w:type="pct"/>
            <w:tcBorders>
              <w:top w:val="single" w:color="auto" w:sz="8" w:space="0"/>
              <w:bottom w:val="single" w:color="auto" w:sz="8" w:space="0"/>
            </w:tcBorders>
            <w:noWrap w:val="0"/>
            <w:vAlign w:val="center"/>
          </w:tcPr>
          <w:p w14:paraId="62F59587">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1"/>
                <w:szCs w:val="21"/>
                <w:lang w:val="en-US" w:eastAsia="zh-CN"/>
              </w:rPr>
            </w:pPr>
            <w:r>
              <w:rPr>
                <w:rFonts w:hint="eastAsia" w:ascii="宋体" w:hAnsi="宋体"/>
                <w:sz w:val="21"/>
                <w:szCs w:val="21"/>
              </w:rPr>
              <w:t>所长/高级工程师</w:t>
            </w:r>
          </w:p>
        </w:tc>
        <w:tc>
          <w:tcPr>
            <w:tcW w:w="1127" w:type="pct"/>
            <w:tcBorders>
              <w:top w:val="single" w:color="auto" w:sz="8" w:space="0"/>
              <w:bottom w:val="single" w:color="auto" w:sz="8" w:space="0"/>
            </w:tcBorders>
            <w:noWrap w:val="0"/>
            <w:vAlign w:val="center"/>
          </w:tcPr>
          <w:p w14:paraId="5460DD77">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行政管理</w:t>
            </w:r>
          </w:p>
        </w:tc>
        <w:tc>
          <w:tcPr>
            <w:tcW w:w="1518" w:type="pct"/>
            <w:tcBorders>
              <w:top w:val="single" w:color="auto" w:sz="8" w:space="0"/>
              <w:bottom w:val="single" w:color="auto" w:sz="8" w:space="0"/>
            </w:tcBorders>
            <w:noWrap w:val="0"/>
            <w:vAlign w:val="center"/>
          </w:tcPr>
          <w:p w14:paraId="43D317DC">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28564E22">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数据资料收集、标准起草、撰写。</w:t>
            </w:r>
          </w:p>
        </w:tc>
      </w:tr>
      <w:tr w14:paraId="2E0DD5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38C81BFF">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徐铁纯</w:t>
            </w:r>
          </w:p>
        </w:tc>
        <w:tc>
          <w:tcPr>
            <w:tcW w:w="804" w:type="pct"/>
            <w:tcBorders>
              <w:top w:val="single" w:color="auto" w:sz="8" w:space="0"/>
              <w:bottom w:val="single" w:color="auto" w:sz="8" w:space="0"/>
            </w:tcBorders>
            <w:noWrap w:val="0"/>
            <w:vAlign w:val="center"/>
          </w:tcPr>
          <w:p w14:paraId="6F140D3A">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ascii="宋体" w:hAnsi="宋体"/>
                <w:sz w:val="21"/>
                <w:szCs w:val="21"/>
              </w:rPr>
              <w:t>秘书长</w:t>
            </w:r>
          </w:p>
        </w:tc>
        <w:tc>
          <w:tcPr>
            <w:tcW w:w="1127" w:type="pct"/>
            <w:tcBorders>
              <w:top w:val="single" w:color="auto" w:sz="8" w:space="0"/>
              <w:bottom w:val="single" w:color="auto" w:sz="8" w:space="0"/>
            </w:tcBorders>
            <w:noWrap w:val="0"/>
            <w:vAlign w:val="center"/>
          </w:tcPr>
          <w:p w14:paraId="04B5CA7C">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园艺技术</w:t>
            </w:r>
          </w:p>
        </w:tc>
        <w:tc>
          <w:tcPr>
            <w:tcW w:w="1518" w:type="pct"/>
            <w:tcBorders>
              <w:top w:val="single" w:color="auto" w:sz="8" w:space="0"/>
              <w:bottom w:val="single" w:color="auto" w:sz="8" w:space="0"/>
            </w:tcBorders>
            <w:noWrap w:val="0"/>
            <w:vAlign w:val="center"/>
          </w:tcPr>
          <w:p w14:paraId="66681D41">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 xml:space="preserve">南宁市老友粉协会 </w:t>
            </w:r>
          </w:p>
        </w:tc>
        <w:tc>
          <w:tcPr>
            <w:tcW w:w="923" w:type="pct"/>
            <w:tcBorders>
              <w:top w:val="single" w:color="auto" w:sz="8" w:space="0"/>
              <w:bottom w:val="single" w:color="auto" w:sz="8" w:space="0"/>
            </w:tcBorders>
            <w:noWrap w:val="0"/>
            <w:vAlign w:val="center"/>
          </w:tcPr>
          <w:p w14:paraId="4E276ED2">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数据资料收集、标准起草、撰写。</w:t>
            </w:r>
          </w:p>
        </w:tc>
      </w:tr>
      <w:tr w14:paraId="0745F8B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53B7D133">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黄宇</w:t>
            </w:r>
          </w:p>
        </w:tc>
        <w:tc>
          <w:tcPr>
            <w:tcW w:w="804" w:type="pct"/>
            <w:tcBorders>
              <w:top w:val="single" w:color="auto" w:sz="8" w:space="0"/>
              <w:bottom w:val="single" w:color="auto" w:sz="8" w:space="0"/>
            </w:tcBorders>
            <w:noWrap w:val="0"/>
            <w:vAlign w:val="center"/>
          </w:tcPr>
          <w:p w14:paraId="57BB91E9">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董事长</w:t>
            </w:r>
          </w:p>
        </w:tc>
        <w:tc>
          <w:tcPr>
            <w:tcW w:w="1127" w:type="pct"/>
            <w:tcBorders>
              <w:top w:val="single" w:color="auto" w:sz="8" w:space="0"/>
              <w:bottom w:val="single" w:color="auto" w:sz="8" w:space="0"/>
            </w:tcBorders>
            <w:noWrap w:val="0"/>
            <w:vAlign w:val="center"/>
          </w:tcPr>
          <w:p w14:paraId="1C53F64A">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Times New Roman" w:hAnsi="Times New Roman" w:eastAsia="宋体" w:cs="Times New Roman"/>
                <w:sz w:val="21"/>
                <w:szCs w:val="21"/>
              </w:rPr>
              <w:t>治安管理</w:t>
            </w:r>
          </w:p>
        </w:tc>
        <w:tc>
          <w:tcPr>
            <w:tcW w:w="1518" w:type="pct"/>
            <w:tcBorders>
              <w:top w:val="single" w:color="auto" w:sz="8" w:space="0"/>
              <w:bottom w:val="single" w:color="auto" w:sz="8" w:space="0"/>
            </w:tcBorders>
            <w:noWrap w:val="0"/>
            <w:vAlign w:val="center"/>
          </w:tcPr>
          <w:p w14:paraId="23BD0546">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广西复记食品科技有限公司</w:t>
            </w:r>
          </w:p>
        </w:tc>
        <w:tc>
          <w:tcPr>
            <w:tcW w:w="923" w:type="pct"/>
            <w:tcBorders>
              <w:top w:val="single" w:color="auto" w:sz="8" w:space="0"/>
              <w:bottom w:val="single" w:color="auto" w:sz="8" w:space="0"/>
            </w:tcBorders>
            <w:noWrap w:val="0"/>
            <w:vAlign w:val="center"/>
          </w:tcPr>
          <w:p w14:paraId="171D9861">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1"/>
                <w:szCs w:val="21"/>
                <w:lang w:val="en-US" w:eastAsia="zh-CN"/>
              </w:rPr>
            </w:pPr>
            <w:r>
              <w:rPr>
                <w:rFonts w:hint="eastAsia" w:ascii="仿宋_GB2312" w:hAnsi="仿宋_GB2312" w:eastAsia="仿宋_GB2312" w:cs="仿宋_GB2312"/>
                <w:sz w:val="21"/>
                <w:szCs w:val="21"/>
              </w:rPr>
              <w:t>数据资料收集、标准起草、撰写。</w:t>
            </w:r>
          </w:p>
        </w:tc>
      </w:tr>
      <w:tr w14:paraId="4BF8101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61F5D6D3">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覃星耀</w:t>
            </w:r>
          </w:p>
        </w:tc>
        <w:tc>
          <w:tcPr>
            <w:tcW w:w="804" w:type="pct"/>
            <w:tcBorders>
              <w:top w:val="single" w:color="auto" w:sz="8" w:space="0"/>
              <w:bottom w:val="single" w:color="auto" w:sz="8" w:space="0"/>
            </w:tcBorders>
            <w:noWrap w:val="0"/>
            <w:vAlign w:val="center"/>
          </w:tcPr>
          <w:p w14:paraId="1F99EAF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ascii="宋体" w:hAnsi="宋体"/>
                <w:sz w:val="21"/>
                <w:szCs w:val="21"/>
              </w:rPr>
              <w:t>技术员</w:t>
            </w:r>
          </w:p>
        </w:tc>
        <w:tc>
          <w:tcPr>
            <w:tcW w:w="1127" w:type="pct"/>
            <w:tcBorders>
              <w:top w:val="single" w:color="auto" w:sz="8" w:space="0"/>
              <w:bottom w:val="single" w:color="auto" w:sz="8" w:space="0"/>
            </w:tcBorders>
            <w:noWrap w:val="0"/>
            <w:vAlign w:val="center"/>
          </w:tcPr>
          <w:p w14:paraId="364C4E7D">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园艺</w:t>
            </w:r>
          </w:p>
        </w:tc>
        <w:tc>
          <w:tcPr>
            <w:tcW w:w="1518" w:type="pct"/>
            <w:tcBorders>
              <w:top w:val="single" w:color="auto" w:sz="8" w:space="0"/>
              <w:bottom w:val="single" w:color="auto" w:sz="8" w:space="0"/>
            </w:tcBorders>
            <w:noWrap w:val="0"/>
            <w:vAlign w:val="center"/>
          </w:tcPr>
          <w:p w14:paraId="34E7D0D0">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广西穗良甜竹科技有限公司</w:t>
            </w:r>
          </w:p>
        </w:tc>
        <w:tc>
          <w:tcPr>
            <w:tcW w:w="923" w:type="pct"/>
            <w:tcBorders>
              <w:top w:val="single" w:color="auto" w:sz="8" w:space="0"/>
              <w:bottom w:val="single" w:color="auto" w:sz="8" w:space="0"/>
            </w:tcBorders>
            <w:noWrap w:val="0"/>
            <w:vAlign w:val="center"/>
          </w:tcPr>
          <w:p w14:paraId="66994F1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数据资料收集</w:t>
            </w:r>
          </w:p>
        </w:tc>
      </w:tr>
      <w:tr w14:paraId="1260E2E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31DAFA2A">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林跃华</w:t>
            </w:r>
          </w:p>
        </w:tc>
        <w:tc>
          <w:tcPr>
            <w:tcW w:w="804" w:type="pct"/>
            <w:tcBorders>
              <w:top w:val="single" w:color="auto" w:sz="8" w:space="0"/>
              <w:bottom w:val="single" w:color="auto" w:sz="8" w:space="0"/>
            </w:tcBorders>
            <w:noWrap w:val="0"/>
            <w:vAlign w:val="center"/>
          </w:tcPr>
          <w:p w14:paraId="0C3190E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ascii="宋体" w:hAnsi="宋体"/>
                <w:sz w:val="21"/>
                <w:szCs w:val="21"/>
              </w:rPr>
              <w:t>总经理</w:t>
            </w:r>
          </w:p>
        </w:tc>
        <w:tc>
          <w:tcPr>
            <w:tcW w:w="1127" w:type="pct"/>
            <w:tcBorders>
              <w:top w:val="single" w:color="auto" w:sz="8" w:space="0"/>
              <w:bottom w:val="single" w:color="auto" w:sz="8" w:space="0"/>
            </w:tcBorders>
            <w:noWrap w:val="0"/>
            <w:vAlign w:val="center"/>
          </w:tcPr>
          <w:p w14:paraId="71C3943E">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食品加工研发</w:t>
            </w:r>
          </w:p>
        </w:tc>
        <w:tc>
          <w:tcPr>
            <w:tcW w:w="1518" w:type="pct"/>
            <w:tcBorders>
              <w:top w:val="single" w:color="auto" w:sz="8" w:space="0"/>
              <w:bottom w:val="single" w:color="auto" w:sz="8" w:space="0"/>
            </w:tcBorders>
            <w:noWrap w:val="0"/>
            <w:vAlign w:val="center"/>
          </w:tcPr>
          <w:p w14:paraId="70E386E1">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广西南宁市韩太食品有限责任公司</w:t>
            </w:r>
          </w:p>
        </w:tc>
        <w:tc>
          <w:tcPr>
            <w:tcW w:w="923" w:type="pct"/>
            <w:tcBorders>
              <w:top w:val="single" w:color="auto" w:sz="8" w:space="0"/>
              <w:bottom w:val="single" w:color="auto" w:sz="8" w:space="0"/>
            </w:tcBorders>
            <w:noWrap w:val="0"/>
            <w:vAlign w:val="center"/>
          </w:tcPr>
          <w:p w14:paraId="09E99E7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lang w:val="en-US" w:eastAsia="zh-CN"/>
              </w:rPr>
            </w:pPr>
            <w:r>
              <w:rPr>
                <w:rFonts w:hint="eastAsia" w:ascii="仿宋_GB2312" w:hAnsi="仿宋_GB2312" w:eastAsia="仿宋_GB2312" w:cs="仿宋_GB2312"/>
                <w:sz w:val="21"/>
                <w:szCs w:val="21"/>
              </w:rPr>
              <w:t>标准起草、撰写。</w:t>
            </w:r>
          </w:p>
        </w:tc>
      </w:tr>
      <w:tr w14:paraId="767BD51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2DD5D96D">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陈金威</w:t>
            </w:r>
          </w:p>
        </w:tc>
        <w:tc>
          <w:tcPr>
            <w:tcW w:w="804" w:type="pct"/>
            <w:tcBorders>
              <w:top w:val="single" w:color="auto" w:sz="8" w:space="0"/>
              <w:bottom w:val="single" w:color="auto" w:sz="8" w:space="0"/>
            </w:tcBorders>
            <w:noWrap w:val="0"/>
            <w:vAlign w:val="center"/>
          </w:tcPr>
          <w:p w14:paraId="6B036401">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ascii="宋体" w:hAnsi="宋体"/>
                <w:sz w:val="21"/>
                <w:szCs w:val="21"/>
              </w:rPr>
              <w:t>董事长</w:t>
            </w:r>
          </w:p>
        </w:tc>
        <w:tc>
          <w:tcPr>
            <w:tcW w:w="1127" w:type="pct"/>
            <w:tcBorders>
              <w:top w:val="single" w:color="auto" w:sz="8" w:space="0"/>
              <w:bottom w:val="single" w:color="auto" w:sz="8" w:space="0"/>
            </w:tcBorders>
            <w:noWrap w:val="0"/>
            <w:vAlign w:val="center"/>
          </w:tcPr>
          <w:p w14:paraId="493D21A6">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企业管理</w:t>
            </w:r>
          </w:p>
        </w:tc>
        <w:tc>
          <w:tcPr>
            <w:tcW w:w="1518" w:type="pct"/>
            <w:tcBorders>
              <w:top w:val="single" w:color="auto" w:sz="8" w:space="0"/>
              <w:bottom w:val="single" w:color="auto" w:sz="8" w:space="0"/>
            </w:tcBorders>
            <w:noWrap w:val="0"/>
            <w:vAlign w:val="center"/>
          </w:tcPr>
          <w:p w14:paraId="115B69B2">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横州市威和食品有限公司</w:t>
            </w:r>
          </w:p>
        </w:tc>
        <w:tc>
          <w:tcPr>
            <w:tcW w:w="923" w:type="pct"/>
            <w:tcBorders>
              <w:top w:val="single" w:color="auto" w:sz="8" w:space="0"/>
              <w:bottom w:val="single" w:color="auto" w:sz="8" w:space="0"/>
            </w:tcBorders>
            <w:noWrap w:val="0"/>
            <w:vAlign w:val="center"/>
          </w:tcPr>
          <w:p w14:paraId="475922E1">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lang w:val="en-US" w:eastAsia="zh-CN"/>
              </w:rPr>
            </w:pPr>
            <w:r>
              <w:rPr>
                <w:rFonts w:hint="eastAsia" w:ascii="仿宋_GB2312" w:hAnsi="仿宋_GB2312" w:eastAsia="仿宋_GB2312" w:cs="仿宋_GB2312"/>
                <w:sz w:val="21"/>
                <w:szCs w:val="21"/>
              </w:rPr>
              <w:t>标准起草、撰写。</w:t>
            </w:r>
          </w:p>
        </w:tc>
      </w:tr>
      <w:tr w14:paraId="55E71A1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3CEC0C8B">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农劲柏</w:t>
            </w:r>
          </w:p>
        </w:tc>
        <w:tc>
          <w:tcPr>
            <w:tcW w:w="804" w:type="pct"/>
            <w:tcBorders>
              <w:top w:val="single" w:color="auto" w:sz="8" w:space="0"/>
              <w:bottom w:val="single" w:color="auto" w:sz="8" w:space="0"/>
            </w:tcBorders>
            <w:noWrap w:val="0"/>
            <w:vAlign w:val="center"/>
          </w:tcPr>
          <w:p w14:paraId="46ED080E">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工程师</w:t>
            </w:r>
          </w:p>
        </w:tc>
        <w:tc>
          <w:tcPr>
            <w:tcW w:w="1127" w:type="pct"/>
            <w:tcBorders>
              <w:top w:val="single" w:color="auto" w:sz="8" w:space="0"/>
              <w:bottom w:val="single" w:color="auto" w:sz="8" w:space="0"/>
            </w:tcBorders>
            <w:noWrap w:val="0"/>
            <w:vAlign w:val="center"/>
          </w:tcPr>
          <w:p w14:paraId="72ACFB5B">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计算机科学与技术</w:t>
            </w:r>
          </w:p>
        </w:tc>
        <w:tc>
          <w:tcPr>
            <w:tcW w:w="1518" w:type="pct"/>
            <w:tcBorders>
              <w:top w:val="single" w:color="auto" w:sz="8" w:space="0"/>
              <w:bottom w:val="single" w:color="auto" w:sz="8" w:space="0"/>
            </w:tcBorders>
            <w:noWrap w:val="0"/>
            <w:vAlign w:val="center"/>
          </w:tcPr>
          <w:p w14:paraId="06B80EDA">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南宁市老友粉协会/广西桂物投资咨询有限公司</w:t>
            </w:r>
          </w:p>
        </w:tc>
        <w:tc>
          <w:tcPr>
            <w:tcW w:w="923" w:type="pct"/>
            <w:tcBorders>
              <w:top w:val="single" w:color="auto" w:sz="8" w:space="0"/>
              <w:bottom w:val="single" w:color="auto" w:sz="8" w:space="0"/>
            </w:tcBorders>
            <w:noWrap w:val="0"/>
            <w:vAlign w:val="center"/>
          </w:tcPr>
          <w:p w14:paraId="334622E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lang w:val="en-US" w:eastAsia="zh-CN"/>
              </w:rPr>
            </w:pPr>
            <w:r>
              <w:rPr>
                <w:rFonts w:hint="eastAsia" w:ascii="仿宋_GB2312" w:hAnsi="仿宋_GB2312" w:eastAsia="仿宋_GB2312" w:cs="仿宋_GB2312"/>
                <w:sz w:val="21"/>
                <w:szCs w:val="21"/>
              </w:rPr>
              <w:t>标准起草、撰写。</w:t>
            </w:r>
          </w:p>
        </w:tc>
      </w:tr>
      <w:tr w14:paraId="187428B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2800C48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农英敏</w:t>
            </w:r>
          </w:p>
        </w:tc>
        <w:tc>
          <w:tcPr>
            <w:tcW w:w="804" w:type="pct"/>
            <w:tcBorders>
              <w:top w:val="single" w:color="auto" w:sz="8" w:space="0"/>
              <w:bottom w:val="single" w:color="auto" w:sz="8" w:space="0"/>
            </w:tcBorders>
            <w:noWrap w:val="0"/>
            <w:vAlign w:val="center"/>
          </w:tcPr>
          <w:p w14:paraId="103F7E03">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助理工程师</w:t>
            </w:r>
          </w:p>
        </w:tc>
        <w:tc>
          <w:tcPr>
            <w:tcW w:w="1127" w:type="pct"/>
            <w:tcBorders>
              <w:top w:val="single" w:color="auto" w:sz="8" w:space="0"/>
              <w:bottom w:val="single" w:color="auto" w:sz="8" w:space="0"/>
            </w:tcBorders>
            <w:noWrap w:val="0"/>
            <w:vAlign w:val="center"/>
          </w:tcPr>
          <w:p w14:paraId="0B5BC42A">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植物保护</w:t>
            </w:r>
          </w:p>
        </w:tc>
        <w:tc>
          <w:tcPr>
            <w:tcW w:w="1518" w:type="pct"/>
            <w:tcBorders>
              <w:top w:val="single" w:color="auto" w:sz="8" w:space="0"/>
              <w:bottom w:val="single" w:color="auto" w:sz="8" w:space="0"/>
            </w:tcBorders>
            <w:noWrap w:val="0"/>
            <w:vAlign w:val="center"/>
          </w:tcPr>
          <w:p w14:paraId="2BEBF2FC">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089A4BB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lang w:val="en-US" w:eastAsia="zh-CN"/>
              </w:rPr>
            </w:pPr>
            <w:r>
              <w:rPr>
                <w:rFonts w:hint="eastAsia" w:ascii="仿宋_GB2312" w:hAnsi="仿宋_GB2312" w:eastAsia="仿宋_GB2312" w:cs="仿宋_GB2312"/>
                <w:sz w:val="21"/>
                <w:szCs w:val="21"/>
                <w:lang w:val="en-US" w:eastAsia="zh-CN"/>
              </w:rPr>
              <w:t>文献</w:t>
            </w:r>
            <w:r>
              <w:rPr>
                <w:rFonts w:hint="eastAsia" w:ascii="仿宋_GB2312" w:hAnsi="仿宋_GB2312" w:eastAsia="仿宋_GB2312" w:cs="仿宋_GB2312"/>
                <w:sz w:val="21"/>
                <w:szCs w:val="21"/>
              </w:rPr>
              <w:t>数据资料收集</w:t>
            </w:r>
          </w:p>
        </w:tc>
      </w:tr>
      <w:tr w14:paraId="01071F9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3801BD05">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梁宁</w:t>
            </w:r>
          </w:p>
        </w:tc>
        <w:tc>
          <w:tcPr>
            <w:tcW w:w="804" w:type="pct"/>
            <w:tcBorders>
              <w:top w:val="single" w:color="auto" w:sz="8" w:space="0"/>
              <w:bottom w:val="single" w:color="auto" w:sz="8" w:space="0"/>
            </w:tcBorders>
            <w:noWrap w:val="0"/>
            <w:vAlign w:val="center"/>
          </w:tcPr>
          <w:p w14:paraId="244C0745">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sz w:val="21"/>
                <w:szCs w:val="21"/>
              </w:rPr>
              <w:t>总经理</w:t>
            </w:r>
          </w:p>
        </w:tc>
        <w:tc>
          <w:tcPr>
            <w:tcW w:w="1127" w:type="pct"/>
            <w:tcBorders>
              <w:top w:val="single" w:color="auto" w:sz="8" w:space="0"/>
              <w:bottom w:val="single" w:color="auto" w:sz="8" w:space="0"/>
            </w:tcBorders>
            <w:noWrap w:val="0"/>
            <w:vAlign w:val="center"/>
          </w:tcPr>
          <w:p w14:paraId="5D78F58F">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Times New Roman" w:hAnsi="Times New Roman" w:eastAsia="宋体" w:cs="Times New Roman"/>
                <w:sz w:val="21"/>
                <w:szCs w:val="21"/>
              </w:rPr>
              <w:t>输电线路工程</w:t>
            </w:r>
          </w:p>
        </w:tc>
        <w:tc>
          <w:tcPr>
            <w:tcW w:w="1518" w:type="pct"/>
            <w:tcBorders>
              <w:top w:val="single" w:color="auto" w:sz="8" w:space="0"/>
              <w:bottom w:val="single" w:color="auto" w:sz="8" w:space="0"/>
            </w:tcBorders>
            <w:noWrap w:val="0"/>
            <w:vAlign w:val="center"/>
          </w:tcPr>
          <w:p w14:paraId="217F58F0">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广西复记食品科技有限公司</w:t>
            </w:r>
          </w:p>
        </w:tc>
        <w:tc>
          <w:tcPr>
            <w:tcW w:w="923" w:type="pct"/>
            <w:tcBorders>
              <w:top w:val="single" w:color="auto" w:sz="8" w:space="0"/>
              <w:bottom w:val="single" w:color="auto" w:sz="8" w:space="0"/>
            </w:tcBorders>
            <w:noWrap w:val="0"/>
            <w:vAlign w:val="center"/>
          </w:tcPr>
          <w:p w14:paraId="6F18FF8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lang w:val="en-US" w:eastAsia="zh-CN"/>
              </w:rPr>
            </w:pPr>
            <w:r>
              <w:rPr>
                <w:rFonts w:hint="eastAsia" w:ascii="仿宋_GB2312" w:hAnsi="仿宋_GB2312" w:eastAsia="仿宋_GB2312" w:cs="仿宋_GB2312"/>
                <w:sz w:val="21"/>
                <w:szCs w:val="21"/>
                <w:lang w:val="en-US" w:eastAsia="zh-CN"/>
              </w:rPr>
              <w:t>文献</w:t>
            </w:r>
            <w:r>
              <w:rPr>
                <w:rFonts w:hint="eastAsia" w:ascii="仿宋_GB2312" w:hAnsi="仿宋_GB2312" w:eastAsia="仿宋_GB2312" w:cs="仿宋_GB2312"/>
                <w:sz w:val="21"/>
                <w:szCs w:val="21"/>
              </w:rPr>
              <w:t>数据资料收集</w:t>
            </w:r>
          </w:p>
        </w:tc>
      </w:tr>
      <w:tr w14:paraId="5FF4ABD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76B4557B">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邓莉明</w:t>
            </w:r>
          </w:p>
        </w:tc>
        <w:tc>
          <w:tcPr>
            <w:tcW w:w="804" w:type="pct"/>
            <w:tcBorders>
              <w:top w:val="single" w:color="auto" w:sz="8" w:space="0"/>
              <w:bottom w:val="single" w:color="auto" w:sz="8" w:space="0"/>
            </w:tcBorders>
            <w:noWrap w:val="0"/>
            <w:vAlign w:val="center"/>
          </w:tcPr>
          <w:p w14:paraId="616E565C">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工程师</w:t>
            </w:r>
          </w:p>
        </w:tc>
        <w:tc>
          <w:tcPr>
            <w:tcW w:w="1127" w:type="pct"/>
            <w:tcBorders>
              <w:top w:val="single" w:color="auto" w:sz="8" w:space="0"/>
              <w:bottom w:val="single" w:color="auto" w:sz="8" w:space="0"/>
            </w:tcBorders>
            <w:noWrap w:val="0"/>
            <w:vAlign w:val="center"/>
          </w:tcPr>
          <w:p w14:paraId="6F4A9FE3">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森林培育</w:t>
            </w:r>
          </w:p>
        </w:tc>
        <w:tc>
          <w:tcPr>
            <w:tcW w:w="1518" w:type="pct"/>
            <w:tcBorders>
              <w:top w:val="single" w:color="auto" w:sz="8" w:space="0"/>
              <w:bottom w:val="single" w:color="auto" w:sz="8" w:space="0"/>
            </w:tcBorders>
            <w:noWrap w:val="0"/>
            <w:vAlign w:val="center"/>
          </w:tcPr>
          <w:p w14:paraId="0FA02348">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593EB8E1">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lang w:val="en-US" w:eastAsia="zh-CN"/>
              </w:rPr>
            </w:pPr>
            <w:r>
              <w:rPr>
                <w:rFonts w:hint="eastAsia" w:ascii="仿宋_GB2312" w:hAnsi="仿宋_GB2312" w:eastAsia="仿宋_GB2312" w:cs="仿宋_GB2312"/>
                <w:sz w:val="21"/>
                <w:szCs w:val="21"/>
                <w:lang w:val="en-US" w:eastAsia="zh-CN"/>
              </w:rPr>
              <w:t>标准实施宣贯、培训</w:t>
            </w:r>
          </w:p>
        </w:tc>
      </w:tr>
      <w:tr w14:paraId="659622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5B3F6E19">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舒应东</w:t>
            </w:r>
          </w:p>
        </w:tc>
        <w:tc>
          <w:tcPr>
            <w:tcW w:w="804" w:type="pct"/>
            <w:tcBorders>
              <w:top w:val="single" w:color="auto" w:sz="8" w:space="0"/>
              <w:bottom w:val="single" w:color="auto" w:sz="8" w:space="0"/>
            </w:tcBorders>
            <w:noWrap w:val="0"/>
            <w:vAlign w:val="center"/>
          </w:tcPr>
          <w:p w14:paraId="1749E7A3">
            <w:pPr>
              <w:keepNext w:val="0"/>
              <w:keepLines w:val="0"/>
              <w:suppressLineNumbers w:val="0"/>
              <w:spacing w:before="0" w:beforeAutospacing="0" w:after="0" w:afterAutospacing="0"/>
              <w:ind w:left="0" w:right="0"/>
              <w:jc w:val="center"/>
              <w:rPr>
                <w:rFonts w:hint="eastAsia"/>
                <w:kern w:val="2"/>
                <w:sz w:val="21"/>
                <w:szCs w:val="21"/>
                <w:lang w:val="en-US" w:eastAsia="zh-CN" w:bidi="ar-SA"/>
              </w:rPr>
            </w:pPr>
            <w:r>
              <w:rPr>
                <w:rFonts w:hint="eastAsia"/>
                <w:sz w:val="21"/>
                <w:szCs w:val="21"/>
                <w:lang w:eastAsia="zh"/>
              </w:rPr>
              <w:t>科长</w:t>
            </w:r>
            <w:r>
              <w:rPr>
                <w:rFonts w:hint="eastAsia"/>
                <w:sz w:val="21"/>
                <w:szCs w:val="21"/>
              </w:rPr>
              <w:t>/</w:t>
            </w:r>
            <w:r>
              <w:rPr>
                <w:rFonts w:hint="eastAsia" w:ascii="宋体" w:hAnsi="宋体"/>
                <w:sz w:val="21"/>
                <w:szCs w:val="21"/>
              </w:rPr>
              <w:t>高级工程师</w:t>
            </w:r>
          </w:p>
        </w:tc>
        <w:tc>
          <w:tcPr>
            <w:tcW w:w="1127" w:type="pct"/>
            <w:tcBorders>
              <w:top w:val="single" w:color="auto" w:sz="8" w:space="0"/>
              <w:bottom w:val="single" w:color="auto" w:sz="8" w:space="0"/>
            </w:tcBorders>
            <w:noWrap w:val="0"/>
            <w:vAlign w:val="center"/>
          </w:tcPr>
          <w:p w14:paraId="3AAAF535">
            <w:pPr>
              <w:keepNext w:val="0"/>
              <w:keepLines w:val="0"/>
              <w:suppressLineNumbers w:val="0"/>
              <w:spacing w:before="0" w:beforeAutospacing="0" w:after="0" w:afterAutospacing="0"/>
              <w:ind w:left="0" w:right="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sz w:val="21"/>
                <w:szCs w:val="21"/>
              </w:rPr>
              <w:t>森林培育</w:t>
            </w:r>
          </w:p>
        </w:tc>
        <w:tc>
          <w:tcPr>
            <w:tcW w:w="1518" w:type="pct"/>
            <w:tcBorders>
              <w:top w:val="single" w:color="auto" w:sz="8" w:space="0"/>
              <w:bottom w:val="single" w:color="auto" w:sz="8" w:space="0"/>
            </w:tcBorders>
            <w:noWrap w:val="0"/>
            <w:vAlign w:val="center"/>
          </w:tcPr>
          <w:p w14:paraId="6C4721FF">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45552803">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1"/>
                <w:szCs w:val="21"/>
                <w:lang w:val="en-US" w:eastAsia="zh-CN"/>
              </w:rPr>
            </w:pPr>
            <w:r>
              <w:rPr>
                <w:rFonts w:hint="eastAsia" w:ascii="仿宋_GB2312" w:hAnsi="仿宋_GB2312" w:eastAsia="仿宋_GB2312" w:cs="仿宋_GB2312"/>
                <w:sz w:val="21"/>
                <w:szCs w:val="21"/>
                <w:lang w:val="en-US" w:eastAsia="zh-CN"/>
              </w:rPr>
              <w:t>标准实施宣贯、培训</w:t>
            </w:r>
          </w:p>
        </w:tc>
      </w:tr>
      <w:tr w14:paraId="26C4936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514C1D1A">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黄永利</w:t>
            </w:r>
          </w:p>
        </w:tc>
        <w:tc>
          <w:tcPr>
            <w:tcW w:w="804" w:type="pct"/>
            <w:tcBorders>
              <w:top w:val="single" w:color="auto" w:sz="8" w:space="0"/>
              <w:bottom w:val="single" w:color="auto" w:sz="8" w:space="0"/>
            </w:tcBorders>
            <w:noWrap w:val="0"/>
            <w:vAlign w:val="center"/>
          </w:tcPr>
          <w:p w14:paraId="02E67854">
            <w:pPr>
              <w:keepNext w:val="0"/>
              <w:keepLines w:val="0"/>
              <w:suppressLineNumbers w:val="0"/>
              <w:spacing w:before="0" w:beforeAutospacing="0" w:after="0" w:afterAutospacing="0"/>
              <w:ind w:left="0" w:right="0"/>
              <w:jc w:val="center"/>
              <w:rPr>
                <w:rFonts w:hint="eastAsia"/>
                <w:kern w:val="2"/>
                <w:sz w:val="21"/>
                <w:szCs w:val="21"/>
                <w:lang w:val="en-US" w:eastAsia="zh-CN" w:bidi="ar-SA"/>
              </w:rPr>
            </w:pPr>
            <w:r>
              <w:rPr>
                <w:rFonts w:hint="eastAsia"/>
                <w:sz w:val="21"/>
                <w:szCs w:val="21"/>
                <w:lang w:eastAsia="zh"/>
              </w:rPr>
              <w:t>科长</w:t>
            </w:r>
            <w:r>
              <w:rPr>
                <w:rFonts w:hint="eastAsia"/>
                <w:sz w:val="21"/>
                <w:szCs w:val="21"/>
              </w:rPr>
              <w:t>/正</w:t>
            </w:r>
            <w:r>
              <w:rPr>
                <w:rFonts w:hint="eastAsia" w:ascii="宋体" w:hAnsi="宋体"/>
                <w:sz w:val="21"/>
                <w:szCs w:val="21"/>
              </w:rPr>
              <w:t>高级工程师</w:t>
            </w:r>
          </w:p>
        </w:tc>
        <w:tc>
          <w:tcPr>
            <w:tcW w:w="1127" w:type="pct"/>
            <w:tcBorders>
              <w:top w:val="single" w:color="auto" w:sz="8" w:space="0"/>
              <w:bottom w:val="single" w:color="auto" w:sz="8" w:space="0"/>
            </w:tcBorders>
            <w:noWrap w:val="0"/>
            <w:vAlign w:val="center"/>
          </w:tcPr>
          <w:p w14:paraId="25861B0B">
            <w:pPr>
              <w:keepNext w:val="0"/>
              <w:keepLines w:val="0"/>
              <w:suppressLineNumbers w:val="0"/>
              <w:spacing w:before="0" w:beforeAutospacing="0" w:after="0" w:afterAutospacing="0"/>
              <w:ind w:left="0" w:right="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sz w:val="21"/>
                <w:szCs w:val="21"/>
              </w:rPr>
              <w:t>林木育种</w:t>
            </w:r>
          </w:p>
        </w:tc>
        <w:tc>
          <w:tcPr>
            <w:tcW w:w="1518" w:type="pct"/>
            <w:tcBorders>
              <w:top w:val="single" w:color="auto" w:sz="8" w:space="0"/>
              <w:bottom w:val="single" w:color="auto" w:sz="8" w:space="0"/>
            </w:tcBorders>
            <w:noWrap w:val="0"/>
            <w:vAlign w:val="center"/>
          </w:tcPr>
          <w:p w14:paraId="3C5215FE">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4A577718">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ascii="仿宋_GB2312" w:hAnsi="仿宋_GB2312" w:eastAsia="仿宋_GB2312" w:cs="仿宋_GB2312"/>
                <w:sz w:val="21"/>
                <w:szCs w:val="21"/>
                <w:lang w:val="en-US" w:eastAsia="zh-CN"/>
              </w:rPr>
              <w:t>标准实施宣贯、培训</w:t>
            </w:r>
          </w:p>
        </w:tc>
      </w:tr>
      <w:tr w14:paraId="5205960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42E80654">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唐武</w:t>
            </w:r>
          </w:p>
        </w:tc>
        <w:tc>
          <w:tcPr>
            <w:tcW w:w="804" w:type="pct"/>
            <w:tcBorders>
              <w:top w:val="single" w:color="auto" w:sz="8" w:space="0"/>
              <w:bottom w:val="single" w:color="auto" w:sz="8" w:space="0"/>
            </w:tcBorders>
            <w:noWrap w:val="0"/>
            <w:vAlign w:val="center"/>
          </w:tcPr>
          <w:p w14:paraId="1E4A3032">
            <w:pPr>
              <w:keepNext w:val="0"/>
              <w:keepLines w:val="0"/>
              <w:suppressLineNumbers w:val="0"/>
              <w:spacing w:before="0" w:beforeAutospacing="0" w:after="0" w:afterAutospacing="0"/>
              <w:ind w:left="0" w:right="0"/>
              <w:jc w:val="center"/>
              <w:rPr>
                <w:rFonts w:hint="eastAsia"/>
                <w:kern w:val="2"/>
                <w:sz w:val="21"/>
                <w:szCs w:val="21"/>
                <w:lang w:val="en-US" w:eastAsia="zh-CN" w:bidi="ar-SA"/>
              </w:rPr>
            </w:pPr>
            <w:r>
              <w:rPr>
                <w:rFonts w:hint="eastAsia" w:ascii="宋体" w:hAnsi="宋体"/>
                <w:sz w:val="21"/>
                <w:szCs w:val="21"/>
              </w:rPr>
              <w:t>工程师</w:t>
            </w:r>
          </w:p>
        </w:tc>
        <w:tc>
          <w:tcPr>
            <w:tcW w:w="1127" w:type="pct"/>
            <w:tcBorders>
              <w:top w:val="single" w:color="auto" w:sz="8" w:space="0"/>
              <w:bottom w:val="single" w:color="auto" w:sz="8" w:space="0"/>
            </w:tcBorders>
            <w:noWrap w:val="0"/>
            <w:vAlign w:val="center"/>
          </w:tcPr>
          <w:p w14:paraId="09E011B2">
            <w:pPr>
              <w:keepNext w:val="0"/>
              <w:keepLines w:val="0"/>
              <w:suppressLineNumbers w:val="0"/>
              <w:spacing w:before="0" w:beforeAutospacing="0" w:after="0" w:afterAutospacing="0"/>
              <w:ind w:left="0" w:right="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sz w:val="21"/>
                <w:szCs w:val="21"/>
              </w:rPr>
              <w:t>森林培育</w:t>
            </w:r>
          </w:p>
        </w:tc>
        <w:tc>
          <w:tcPr>
            <w:tcW w:w="1518" w:type="pct"/>
            <w:tcBorders>
              <w:top w:val="single" w:color="auto" w:sz="8" w:space="0"/>
              <w:bottom w:val="single" w:color="auto" w:sz="8" w:space="0"/>
            </w:tcBorders>
            <w:noWrap w:val="0"/>
            <w:vAlign w:val="center"/>
          </w:tcPr>
          <w:p w14:paraId="3D0B47DE">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3124B537">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ascii="仿宋_GB2312" w:hAnsi="仿宋_GB2312" w:eastAsia="仿宋_GB2312" w:cs="仿宋_GB2312"/>
                <w:sz w:val="21"/>
                <w:szCs w:val="21"/>
                <w:lang w:val="en-US" w:eastAsia="zh-CN"/>
              </w:rPr>
              <w:t>标准实施宣贯、培训</w:t>
            </w:r>
          </w:p>
        </w:tc>
      </w:tr>
      <w:tr w14:paraId="49918C7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2003F52F">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莫悦</w:t>
            </w:r>
          </w:p>
        </w:tc>
        <w:tc>
          <w:tcPr>
            <w:tcW w:w="804" w:type="pct"/>
            <w:tcBorders>
              <w:top w:val="single" w:color="auto" w:sz="8" w:space="0"/>
              <w:bottom w:val="single" w:color="auto" w:sz="8" w:space="0"/>
            </w:tcBorders>
            <w:noWrap w:val="0"/>
            <w:vAlign w:val="center"/>
          </w:tcPr>
          <w:p w14:paraId="1DD77238">
            <w:pPr>
              <w:keepNext w:val="0"/>
              <w:keepLines w:val="0"/>
              <w:suppressLineNumbers w:val="0"/>
              <w:spacing w:before="0" w:beforeAutospacing="0" w:after="0" w:afterAutospacing="0"/>
              <w:ind w:left="0" w:right="0"/>
              <w:jc w:val="center"/>
              <w:rPr>
                <w:rFonts w:hint="eastAsia"/>
                <w:kern w:val="2"/>
                <w:sz w:val="21"/>
                <w:szCs w:val="21"/>
                <w:lang w:val="en-US" w:eastAsia="zh-CN" w:bidi="ar-SA"/>
              </w:rPr>
            </w:pPr>
            <w:r>
              <w:rPr>
                <w:rFonts w:hint="eastAsia"/>
                <w:sz w:val="21"/>
                <w:szCs w:val="21"/>
                <w:lang w:eastAsia="zh"/>
              </w:rPr>
              <w:t>助理工程师</w:t>
            </w:r>
          </w:p>
        </w:tc>
        <w:tc>
          <w:tcPr>
            <w:tcW w:w="1127" w:type="pct"/>
            <w:tcBorders>
              <w:top w:val="single" w:color="auto" w:sz="8" w:space="0"/>
              <w:bottom w:val="single" w:color="auto" w:sz="8" w:space="0"/>
            </w:tcBorders>
            <w:noWrap w:val="0"/>
            <w:vAlign w:val="center"/>
          </w:tcPr>
          <w:p w14:paraId="438D7305">
            <w:pPr>
              <w:keepNext w:val="0"/>
              <w:keepLines w:val="0"/>
              <w:suppressLineNumbers w:val="0"/>
              <w:spacing w:before="0" w:beforeAutospacing="0" w:after="0" w:afterAutospacing="0"/>
              <w:ind w:left="0" w:right="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sz w:val="21"/>
                <w:szCs w:val="21"/>
              </w:rPr>
              <w:t>林产化工</w:t>
            </w:r>
          </w:p>
        </w:tc>
        <w:tc>
          <w:tcPr>
            <w:tcW w:w="1518" w:type="pct"/>
            <w:tcBorders>
              <w:top w:val="single" w:color="auto" w:sz="8" w:space="0"/>
              <w:bottom w:val="single" w:color="auto" w:sz="8" w:space="0"/>
            </w:tcBorders>
            <w:noWrap w:val="0"/>
            <w:vAlign w:val="center"/>
          </w:tcPr>
          <w:p w14:paraId="4CCEA46E">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南宁市林业科学研究所</w:t>
            </w:r>
          </w:p>
        </w:tc>
        <w:tc>
          <w:tcPr>
            <w:tcW w:w="923" w:type="pct"/>
            <w:tcBorders>
              <w:top w:val="single" w:color="auto" w:sz="8" w:space="0"/>
              <w:bottom w:val="single" w:color="auto" w:sz="8" w:space="0"/>
            </w:tcBorders>
            <w:noWrap w:val="0"/>
            <w:vAlign w:val="center"/>
          </w:tcPr>
          <w:p w14:paraId="67BBCCE1">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ascii="仿宋_GB2312" w:hAnsi="仿宋_GB2312" w:eastAsia="仿宋_GB2312" w:cs="仿宋_GB2312"/>
                <w:sz w:val="21"/>
                <w:szCs w:val="21"/>
                <w:lang w:val="en-US" w:eastAsia="zh-CN"/>
              </w:rPr>
              <w:t>标准实施宣贯、培训</w:t>
            </w:r>
          </w:p>
        </w:tc>
      </w:tr>
      <w:tr w14:paraId="2F5E9D6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5373B428">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廖均原</w:t>
            </w:r>
          </w:p>
        </w:tc>
        <w:tc>
          <w:tcPr>
            <w:tcW w:w="804" w:type="pct"/>
            <w:tcBorders>
              <w:top w:val="single" w:color="auto" w:sz="8" w:space="0"/>
              <w:bottom w:val="single" w:color="auto" w:sz="8" w:space="0"/>
            </w:tcBorders>
            <w:noWrap w:val="0"/>
            <w:vAlign w:val="center"/>
          </w:tcPr>
          <w:p w14:paraId="0624A1A4">
            <w:pPr>
              <w:keepNext w:val="0"/>
              <w:keepLines w:val="0"/>
              <w:suppressLineNumbers w:val="0"/>
              <w:spacing w:before="0" w:beforeAutospacing="0" w:after="0" w:afterAutospacing="0"/>
              <w:ind w:left="0" w:right="0"/>
              <w:jc w:val="center"/>
              <w:rPr>
                <w:rFonts w:hint="eastAsia"/>
                <w:kern w:val="2"/>
                <w:sz w:val="21"/>
                <w:szCs w:val="21"/>
                <w:lang w:val="en-US" w:eastAsia="zh-CN" w:bidi="ar-SA"/>
              </w:rPr>
            </w:pPr>
            <w:r>
              <w:rPr>
                <w:rFonts w:hint="eastAsia"/>
                <w:sz w:val="21"/>
                <w:szCs w:val="21"/>
                <w:lang w:eastAsia="zh"/>
              </w:rPr>
              <w:t>厂长</w:t>
            </w:r>
          </w:p>
        </w:tc>
        <w:tc>
          <w:tcPr>
            <w:tcW w:w="1127" w:type="pct"/>
            <w:tcBorders>
              <w:top w:val="single" w:color="auto" w:sz="8" w:space="0"/>
              <w:bottom w:val="single" w:color="auto" w:sz="8" w:space="0"/>
            </w:tcBorders>
            <w:noWrap w:val="0"/>
            <w:vAlign w:val="center"/>
          </w:tcPr>
          <w:p w14:paraId="301BDDA9">
            <w:pPr>
              <w:keepNext w:val="0"/>
              <w:keepLines w:val="0"/>
              <w:suppressLineNumbers w:val="0"/>
              <w:spacing w:before="0" w:beforeAutospacing="0" w:after="0" w:afterAutospacing="0"/>
              <w:ind w:left="0" w:right="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sz w:val="21"/>
                <w:szCs w:val="21"/>
              </w:rPr>
              <w:t>材料化学</w:t>
            </w:r>
          </w:p>
        </w:tc>
        <w:tc>
          <w:tcPr>
            <w:tcW w:w="1518" w:type="pct"/>
            <w:tcBorders>
              <w:top w:val="single" w:color="auto" w:sz="8" w:space="0"/>
              <w:bottom w:val="single" w:color="auto" w:sz="8" w:space="0"/>
            </w:tcBorders>
            <w:noWrap w:val="0"/>
            <w:vAlign w:val="center"/>
          </w:tcPr>
          <w:p w14:paraId="79745F33">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广西复记食品科技有限公司</w:t>
            </w:r>
          </w:p>
        </w:tc>
        <w:tc>
          <w:tcPr>
            <w:tcW w:w="923" w:type="pct"/>
            <w:tcBorders>
              <w:top w:val="single" w:color="auto" w:sz="8" w:space="0"/>
              <w:bottom w:val="single" w:color="auto" w:sz="8" w:space="0"/>
            </w:tcBorders>
            <w:noWrap w:val="0"/>
            <w:vAlign w:val="center"/>
          </w:tcPr>
          <w:p w14:paraId="7871BCE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ascii="仿宋_GB2312" w:hAnsi="仿宋_GB2312" w:eastAsia="仿宋_GB2312" w:cs="仿宋_GB2312"/>
                <w:sz w:val="21"/>
                <w:szCs w:val="21"/>
                <w:lang w:val="en-US" w:eastAsia="zh-CN"/>
              </w:rPr>
              <w:t>标准实施宣贯、培训</w:t>
            </w:r>
          </w:p>
        </w:tc>
      </w:tr>
      <w:tr w14:paraId="56E4C26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25" w:type="pct"/>
            <w:tcBorders>
              <w:top w:val="single" w:color="auto" w:sz="8" w:space="0"/>
              <w:bottom w:val="single" w:color="auto" w:sz="8" w:space="0"/>
            </w:tcBorders>
            <w:noWrap w:val="0"/>
            <w:vAlign w:val="center"/>
          </w:tcPr>
          <w:p w14:paraId="7E9D871F">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sz w:val="21"/>
                <w:szCs w:val="21"/>
              </w:rPr>
              <w:t>王力婉</w:t>
            </w:r>
          </w:p>
        </w:tc>
        <w:tc>
          <w:tcPr>
            <w:tcW w:w="804" w:type="pct"/>
            <w:tcBorders>
              <w:top w:val="single" w:color="auto" w:sz="8" w:space="0"/>
              <w:bottom w:val="single" w:color="auto" w:sz="8" w:space="0"/>
            </w:tcBorders>
            <w:noWrap w:val="0"/>
            <w:vAlign w:val="center"/>
          </w:tcPr>
          <w:p w14:paraId="6202479B">
            <w:pPr>
              <w:keepNext w:val="0"/>
              <w:keepLines w:val="0"/>
              <w:suppressLineNumbers w:val="0"/>
              <w:spacing w:before="0" w:beforeAutospacing="0" w:after="0" w:afterAutospacing="0"/>
              <w:ind w:left="0" w:right="0"/>
              <w:jc w:val="center"/>
              <w:rPr>
                <w:rFonts w:hint="eastAsia"/>
                <w:kern w:val="2"/>
                <w:sz w:val="21"/>
                <w:szCs w:val="21"/>
                <w:lang w:val="en-US" w:eastAsia="zh-CN" w:bidi="ar-SA"/>
              </w:rPr>
            </w:pPr>
            <w:r>
              <w:rPr>
                <w:rFonts w:hint="eastAsia" w:ascii="宋体" w:hAnsi="宋体"/>
                <w:sz w:val="21"/>
                <w:szCs w:val="21"/>
              </w:rPr>
              <w:t>工程师</w:t>
            </w:r>
          </w:p>
        </w:tc>
        <w:tc>
          <w:tcPr>
            <w:tcW w:w="1127" w:type="pct"/>
            <w:tcBorders>
              <w:top w:val="single" w:color="auto" w:sz="8" w:space="0"/>
              <w:bottom w:val="single" w:color="auto" w:sz="8" w:space="0"/>
            </w:tcBorders>
            <w:noWrap w:val="0"/>
            <w:vAlign w:val="center"/>
          </w:tcPr>
          <w:p w14:paraId="435709F1">
            <w:pPr>
              <w:keepNext w:val="0"/>
              <w:keepLines w:val="0"/>
              <w:suppressLineNumbers w:val="0"/>
              <w:spacing w:before="0" w:beforeAutospacing="0" w:after="0" w:afterAutospacing="0"/>
              <w:ind w:left="0" w:right="0"/>
              <w:jc w:val="center"/>
              <w:rPr>
                <w:rFonts w:hint="eastAsia" w:ascii="Times New Roman" w:hAnsi="Times New Roman" w:eastAsia="宋体" w:cs="Times New Roman"/>
                <w:kern w:val="2"/>
                <w:sz w:val="21"/>
                <w:szCs w:val="21"/>
                <w:lang w:val="en-US" w:eastAsia="zh-CN" w:bidi="ar-SA"/>
              </w:rPr>
            </w:pPr>
            <w:r>
              <w:rPr>
                <w:rFonts w:hint="eastAsia" w:ascii="宋体" w:hAnsi="宋体"/>
                <w:sz w:val="21"/>
                <w:szCs w:val="21"/>
              </w:rPr>
              <w:t>化学工程</w:t>
            </w:r>
          </w:p>
        </w:tc>
        <w:tc>
          <w:tcPr>
            <w:tcW w:w="1518" w:type="pct"/>
            <w:tcBorders>
              <w:top w:val="single" w:color="auto" w:sz="8" w:space="0"/>
              <w:bottom w:val="single" w:color="auto" w:sz="8" w:space="0"/>
            </w:tcBorders>
            <w:noWrap w:val="0"/>
            <w:vAlign w:val="center"/>
          </w:tcPr>
          <w:p w14:paraId="696277A5">
            <w:pPr>
              <w:keepNext w:val="0"/>
              <w:keepLines w:val="0"/>
              <w:suppressLineNumbers w:val="0"/>
              <w:spacing w:before="0" w:beforeAutospacing="0" w:after="0" w:afterAutospacing="0"/>
              <w:ind w:left="0" w:right="0"/>
              <w:jc w:val="center"/>
              <w:rPr>
                <w:rFonts w:hint="eastAsia" w:ascii="宋体" w:hAnsi="宋体"/>
                <w:kern w:val="2"/>
                <w:sz w:val="21"/>
                <w:szCs w:val="21"/>
                <w:lang w:val="en-US" w:eastAsia="zh-CN" w:bidi="ar-SA"/>
              </w:rPr>
            </w:pPr>
            <w:r>
              <w:rPr>
                <w:rFonts w:hint="eastAsia" w:ascii="宋体" w:hAnsi="宋体"/>
                <w:sz w:val="21"/>
                <w:szCs w:val="21"/>
              </w:rPr>
              <w:t>南宁市老友粉协会/广西桂物投资咨询有限公司</w:t>
            </w:r>
          </w:p>
        </w:tc>
        <w:tc>
          <w:tcPr>
            <w:tcW w:w="923" w:type="pct"/>
            <w:tcBorders>
              <w:top w:val="single" w:color="auto" w:sz="8" w:space="0"/>
              <w:bottom w:val="single" w:color="auto" w:sz="8" w:space="0"/>
            </w:tcBorders>
            <w:noWrap w:val="0"/>
            <w:vAlign w:val="center"/>
          </w:tcPr>
          <w:p w14:paraId="6033F834">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1"/>
                <w:szCs w:val="21"/>
                <w:lang w:val="en-US" w:eastAsia="zh-CN" w:bidi="ar-SA"/>
              </w:rPr>
            </w:pPr>
            <w:r>
              <w:rPr>
                <w:rFonts w:hint="eastAsia" w:ascii="仿宋_GB2312" w:hAnsi="仿宋_GB2312" w:eastAsia="仿宋_GB2312" w:cs="仿宋_GB2312"/>
                <w:sz w:val="21"/>
                <w:szCs w:val="21"/>
                <w:lang w:val="en-US" w:eastAsia="zh-CN"/>
              </w:rPr>
              <w:t>标准实施宣贯、培训</w:t>
            </w:r>
          </w:p>
        </w:tc>
      </w:tr>
    </w:tbl>
    <w:p w14:paraId="702F416B">
      <w:pPr>
        <w:numPr>
          <w:ilvl w:val="0"/>
          <w:numId w:val="2"/>
        </w:numPr>
        <w:overflowPunct w:val="0"/>
        <w:topLinePunct/>
        <w:spacing w:line="560" w:lineRule="exact"/>
        <w:outlineLvl w:val="0"/>
        <w:rPr>
          <w:rFonts w:eastAsia="黑体"/>
          <w:bCs/>
          <w:sz w:val="32"/>
          <w:szCs w:val="32"/>
        </w:rPr>
      </w:pPr>
      <w:r>
        <w:rPr>
          <w:rFonts w:hint="eastAsia" w:eastAsia="黑体"/>
          <w:bCs/>
          <w:sz w:val="32"/>
          <w:szCs w:val="32"/>
        </w:rPr>
        <w:t>制定标准的必要性和意义</w:t>
      </w:r>
    </w:p>
    <w:p w14:paraId="5FEDA82B">
      <w:pPr>
        <w:overflowPunct w:val="0"/>
        <w:topLinePunct/>
        <w:spacing w:line="560" w:lineRule="exact"/>
        <w:ind w:firstLine="640"/>
        <w:rPr>
          <w:rFonts w:eastAsia="仿宋_GB2312"/>
          <w:sz w:val="32"/>
          <w:szCs w:val="32"/>
        </w:rPr>
      </w:pPr>
      <w:r>
        <w:rPr>
          <w:rFonts w:hint="eastAsia" w:eastAsia="仿宋_GB2312"/>
          <w:sz w:val="32"/>
          <w:szCs w:val="32"/>
        </w:rPr>
        <w:t>2023年12月，习近平总书记视察广西，重要讲话精神强调立足资源禀赋和产业基础，推进标准化、品牌化建设，全力做大做强做优食品加工产业，为加快构建现代化产业体系、推动高质量发展注入强劲动能。2023年11月，自治区人民政府办公厅印发《</w:t>
      </w:r>
      <w:r>
        <w:rPr>
          <w:rFonts w:hint="eastAsia" w:eastAsia="仿宋_GB2312"/>
          <w:sz w:val="32"/>
          <w:szCs w:val="32"/>
          <w:lang w:eastAsia="zh-CN"/>
        </w:rPr>
        <w:t>广西壮族自治区</w:t>
      </w:r>
      <w:r>
        <w:rPr>
          <w:rFonts w:hint="eastAsia" w:eastAsia="仿宋_GB2312"/>
          <w:sz w:val="32"/>
          <w:szCs w:val="32"/>
        </w:rPr>
        <w:t>人民政府办公厅关于支持南宁市加快创新开放多元融合建设区域性国际旅游中心城市的意见》（桂政办发〔2023〕80号），明确支持将南宁打造成为更高水平的广西特色产品销售中心，促进“桂品出乡”“桂品出海”；加强南宁老友粉、柠檬鸭、五色糯米饭等非遗美食传统技艺保护和传承。</w:t>
      </w:r>
    </w:p>
    <w:p w14:paraId="3B597507">
      <w:pPr>
        <w:overflowPunct w:val="0"/>
        <w:topLinePunct/>
        <w:spacing w:line="560" w:lineRule="exact"/>
        <w:ind w:firstLine="640"/>
        <w:rPr>
          <w:rFonts w:eastAsia="仿宋_GB2312" w:cs="Times New Roman"/>
          <w:sz w:val="32"/>
          <w:szCs w:val="32"/>
        </w:rPr>
      </w:pPr>
      <w:r>
        <w:rPr>
          <w:rFonts w:hint="eastAsia" w:eastAsia="仿宋_GB2312" w:cs="Times New Roman"/>
          <w:sz w:val="32"/>
          <w:szCs w:val="32"/>
        </w:rPr>
        <w:t>老友粉是广西南宁市及其周边地区的著名小吃，有近百年的历史，为广西“三大米粉”之一，是广西南宁传统小吃的金字招牌；</w:t>
      </w:r>
      <w:r>
        <w:rPr>
          <w:rFonts w:eastAsia="仿宋_GB2312" w:cs="Times New Roman"/>
          <w:sz w:val="32"/>
          <w:szCs w:val="32"/>
        </w:rPr>
        <w:t>2007</w:t>
      </w:r>
      <w:r>
        <w:rPr>
          <w:rFonts w:hint="eastAsia" w:eastAsia="仿宋_GB2312" w:cs="Times New Roman"/>
          <w:sz w:val="32"/>
          <w:szCs w:val="32"/>
        </w:rPr>
        <w:t>年入选第一批南宁市级非物质文化遗产名录，2008年入选第二批自治区级非物质文化遗产名录。根据</w:t>
      </w:r>
      <w:r>
        <w:rPr>
          <w:rFonts w:eastAsia="仿宋_GB2312" w:cs="Times New Roman"/>
          <w:sz w:val="32"/>
          <w:szCs w:val="32"/>
        </w:rPr>
        <w:t>南宁市人民政府</w:t>
      </w:r>
      <w:r>
        <w:rPr>
          <w:rFonts w:hint="eastAsia" w:eastAsia="仿宋_GB2312" w:cs="Times New Roman"/>
          <w:sz w:val="32"/>
          <w:szCs w:val="32"/>
        </w:rPr>
        <w:t>《关于印发</w:t>
      </w:r>
      <w:r>
        <w:rPr>
          <w:rFonts w:eastAsia="仿宋_GB2312" w:cs="Times New Roman"/>
          <w:sz w:val="32"/>
          <w:szCs w:val="32"/>
        </w:rPr>
        <w:t>促进南宁老友粉产业高质量发展若干措施的通知</w:t>
      </w:r>
      <w:r>
        <w:rPr>
          <w:rFonts w:hint="eastAsia" w:eastAsia="仿宋_GB2312" w:cs="Times New Roman"/>
          <w:sz w:val="32"/>
          <w:szCs w:val="32"/>
        </w:rPr>
        <w:t>》（</w:t>
      </w:r>
      <w:r>
        <w:rPr>
          <w:rFonts w:eastAsia="仿宋_GB2312" w:cs="Times New Roman"/>
          <w:sz w:val="32"/>
          <w:szCs w:val="32"/>
        </w:rPr>
        <w:t>南府规〔2024〕1号</w:t>
      </w:r>
      <w:r>
        <w:rPr>
          <w:rFonts w:hint="eastAsia" w:eastAsia="仿宋_GB2312" w:cs="Times New Roman"/>
          <w:sz w:val="32"/>
          <w:szCs w:val="32"/>
        </w:rPr>
        <w:t>）</w:t>
      </w:r>
      <w:r>
        <w:rPr>
          <w:rFonts w:eastAsia="仿宋_GB2312" w:cs="Times New Roman"/>
          <w:sz w:val="32"/>
          <w:szCs w:val="32"/>
        </w:rPr>
        <w:t>以下简称“《若干措施》”</w:t>
      </w:r>
      <w:r>
        <w:rPr>
          <w:rFonts w:hint="eastAsia" w:eastAsia="仿宋_GB2312" w:cs="Times New Roman"/>
          <w:sz w:val="32"/>
          <w:szCs w:val="32"/>
        </w:rPr>
        <w:t>精神，要</w:t>
      </w:r>
      <w:r>
        <w:rPr>
          <w:rFonts w:eastAsia="仿宋_GB2312" w:cs="Times New Roman"/>
          <w:sz w:val="32"/>
          <w:szCs w:val="32"/>
        </w:rPr>
        <w:t>全力做大做强做优南宁老友粉产业，推进标准化、绿色化、品牌化建设</w:t>
      </w:r>
      <w:r>
        <w:rPr>
          <w:rFonts w:hint="eastAsia" w:eastAsia="仿宋_GB2312" w:cs="Times New Roman"/>
          <w:sz w:val="32"/>
          <w:szCs w:val="32"/>
        </w:rPr>
        <w:t>，</w:t>
      </w:r>
      <w:r>
        <w:rPr>
          <w:rFonts w:eastAsia="仿宋_GB2312" w:cs="Times New Roman"/>
          <w:sz w:val="32"/>
          <w:szCs w:val="32"/>
        </w:rPr>
        <w:t>鼓励制定南宁老友粉国家标准、行业标准、地方标准</w:t>
      </w:r>
      <w:r>
        <w:rPr>
          <w:rFonts w:hint="eastAsia" w:eastAsia="仿宋_GB2312" w:cs="Times New Roman"/>
          <w:sz w:val="32"/>
          <w:szCs w:val="32"/>
        </w:rPr>
        <w:t>、</w:t>
      </w:r>
      <w:r>
        <w:rPr>
          <w:rFonts w:eastAsia="仿宋_GB2312" w:cs="Times New Roman"/>
          <w:sz w:val="32"/>
          <w:szCs w:val="32"/>
        </w:rPr>
        <w:t>团体标准</w:t>
      </w:r>
      <w:r>
        <w:rPr>
          <w:rFonts w:hint="eastAsia" w:eastAsia="仿宋_GB2312" w:cs="Times New Roman"/>
          <w:sz w:val="32"/>
          <w:szCs w:val="32"/>
        </w:rPr>
        <w:t>和企业标准。根据南宁市人民政府办公室《关于印发南宁市老友粉全产业链标准体系建设三年行动方案（2024-2026年）的通知》（南府办函</w:t>
      </w:r>
      <w:r>
        <w:rPr>
          <w:rFonts w:eastAsia="仿宋_GB2312" w:cs="Times New Roman"/>
          <w:sz w:val="32"/>
          <w:szCs w:val="32"/>
        </w:rPr>
        <w:t>〔2024〕</w:t>
      </w:r>
      <w:r>
        <w:rPr>
          <w:rFonts w:hint="eastAsia" w:eastAsia="仿宋_GB2312" w:cs="Times New Roman"/>
          <w:sz w:val="32"/>
          <w:szCs w:val="32"/>
        </w:rPr>
        <w:t>95</w:t>
      </w:r>
      <w:r>
        <w:rPr>
          <w:rFonts w:eastAsia="仿宋_GB2312" w:cs="Times New Roman"/>
          <w:sz w:val="32"/>
          <w:szCs w:val="32"/>
        </w:rPr>
        <w:t>号</w:t>
      </w:r>
      <w:r>
        <w:rPr>
          <w:rFonts w:hint="eastAsia" w:eastAsia="仿宋_GB2312" w:cs="Times New Roman"/>
          <w:sz w:val="32"/>
          <w:szCs w:val="32"/>
        </w:rPr>
        <w:t>）</w:t>
      </w:r>
      <w:r>
        <w:rPr>
          <w:rFonts w:hint="eastAsia" w:eastAsia="仿宋_GB2312" w:cs="Times New Roman"/>
          <w:sz w:val="32"/>
          <w:szCs w:val="32"/>
          <w:lang w:eastAsia="zh-CN"/>
        </w:rPr>
        <w:t>（以</w:t>
      </w:r>
      <w:r>
        <w:rPr>
          <w:rFonts w:hint="eastAsia" w:eastAsia="仿宋_GB2312" w:cs="Times New Roman"/>
          <w:sz w:val="32"/>
          <w:szCs w:val="32"/>
        </w:rPr>
        <w:t>下简称《三年行动方案》）精神，要建立健全覆盖基础通用与安全、原辅料、生产加工、营销与流通、绿色低碳与环保及品牌创造、运用和管理等六个部分的南宁老友粉全产业链标准体系，并于2026年基本建成。其中原辅料标准体系建设包括了米粉专用稻、竹笋等南宁市老友粉原料种植基地建设与管理规范等标准。</w:t>
      </w:r>
    </w:p>
    <w:p w14:paraId="71EB6D99">
      <w:pPr>
        <w:overflowPunct w:val="0"/>
        <w:topLinePunct/>
        <w:spacing w:line="560" w:lineRule="exact"/>
        <w:ind w:firstLine="640"/>
        <w:jc w:val="left"/>
        <w:rPr>
          <w:rFonts w:eastAsia="仿宋_GB2312" w:cs="Times New Roman"/>
          <w:sz w:val="32"/>
          <w:szCs w:val="32"/>
        </w:rPr>
      </w:pPr>
      <w:r>
        <w:rPr>
          <w:rFonts w:hint="eastAsia" w:eastAsia="仿宋_GB2312" w:cs="Times New Roman"/>
          <w:sz w:val="32"/>
          <w:szCs w:val="32"/>
        </w:rPr>
        <w:t>老友粉以米粉作为主食，以酸笋、豆豉、猪肉、牛肉等作为副食，口味酸、鲜、咸、辣，其中酸味主要由酸笋提供。酸笋含有丰富的纤维素，可促进人体的肠胃蠕动，促进消化吸收，有效预防高胆固醇、高血压等疾病，</w:t>
      </w:r>
      <w:r>
        <w:rPr>
          <w:rFonts w:hint="eastAsia" w:eastAsia="仿宋_GB2312"/>
          <w:sz w:val="32"/>
          <w:szCs w:val="32"/>
        </w:rPr>
        <w:t>是老友粉独特风味不可或缺的原料之一</w:t>
      </w:r>
      <w:r>
        <w:rPr>
          <w:rFonts w:hint="eastAsia" w:eastAsia="仿宋_GB2312" w:cs="Times New Roman"/>
          <w:sz w:val="32"/>
          <w:szCs w:val="32"/>
        </w:rPr>
        <w:t>。</w:t>
      </w:r>
      <w:r>
        <w:rPr>
          <w:rFonts w:hint="default" w:eastAsia="仿宋_GB2312" w:cs="Times New Roman"/>
          <w:sz w:val="32"/>
          <w:szCs w:val="32"/>
        </w:rPr>
        <w:t>经过</w:t>
      </w:r>
      <w:r>
        <w:rPr>
          <w:rFonts w:hint="eastAsia" w:eastAsia="仿宋_GB2312" w:cs="Times New Roman"/>
          <w:sz w:val="32"/>
          <w:szCs w:val="32"/>
          <w:lang w:val="en-US" w:eastAsia="zh-CN"/>
        </w:rPr>
        <w:t>标准起草组调研广西复记食品科技有限公司</w:t>
      </w:r>
      <w:r>
        <w:rPr>
          <w:rFonts w:hint="default" w:eastAsia="仿宋_GB2312" w:cs="Times New Roman"/>
          <w:sz w:val="32"/>
          <w:szCs w:val="32"/>
          <w:lang w:eastAsia="zh-CN"/>
        </w:rPr>
        <w:t>、</w:t>
      </w:r>
      <w:r>
        <w:rPr>
          <w:rFonts w:hint="eastAsia" w:eastAsia="仿宋_GB2312" w:cs="Times New Roman"/>
          <w:sz w:val="32"/>
          <w:szCs w:val="32"/>
          <w:lang w:val="en-US" w:eastAsia="zh-CN"/>
        </w:rPr>
        <w:t>广西南宁市韩太食品有限责任公司</w:t>
      </w:r>
      <w:r>
        <w:rPr>
          <w:rFonts w:hint="default" w:eastAsia="仿宋_GB2312" w:cs="Times New Roman"/>
          <w:sz w:val="32"/>
          <w:szCs w:val="32"/>
          <w:lang w:eastAsia="zh-CN"/>
        </w:rPr>
        <w:t>、</w:t>
      </w:r>
      <w:r>
        <w:rPr>
          <w:rFonts w:hint="eastAsia" w:eastAsia="仿宋_GB2312" w:cs="Times New Roman"/>
          <w:sz w:val="32"/>
          <w:szCs w:val="32"/>
          <w:lang w:val="en-US" w:eastAsia="zh-CN"/>
        </w:rPr>
        <w:t>南宁万国食品有限公司、广西猪霸王餐饮管理有限公司</w:t>
      </w:r>
      <w:r>
        <w:rPr>
          <w:rFonts w:hint="default" w:eastAsia="仿宋_GB2312" w:cs="Times New Roman"/>
          <w:sz w:val="32"/>
          <w:szCs w:val="32"/>
          <w:lang w:eastAsia="zh-CN"/>
        </w:rPr>
        <w:t>、南宁银河有限责任公司、南宁</w:t>
      </w:r>
      <w:r>
        <w:rPr>
          <w:rFonts w:hint="default" w:eastAsia="仿宋_GB2312" w:cs="Times New Roman"/>
          <w:color w:val="auto"/>
          <w:sz w:val="32"/>
          <w:szCs w:val="32"/>
          <w:lang w:eastAsia="zh-CN"/>
        </w:rPr>
        <w:t>市友春食品有限公司、</w:t>
      </w:r>
      <w:r>
        <w:rPr>
          <w:rFonts w:hint="eastAsia" w:eastAsia="仿宋_GB2312" w:cs="Times New Roman"/>
          <w:color w:val="auto"/>
          <w:sz w:val="32"/>
          <w:szCs w:val="32"/>
          <w:lang w:val="en-US" w:eastAsia="zh-CN"/>
        </w:rPr>
        <w:t>广西桂小厨餐饮管理有限公司</w:t>
      </w:r>
      <w:r>
        <w:rPr>
          <w:rFonts w:hint="default" w:eastAsia="仿宋_GB2312" w:cs="Times New Roman"/>
          <w:color w:val="auto"/>
          <w:sz w:val="32"/>
          <w:szCs w:val="32"/>
          <w:lang w:eastAsia="zh-CN"/>
        </w:rPr>
        <w:t>、南宁古源香餐饮管理有限公司等老友粉企业，</w:t>
      </w:r>
      <w:r>
        <w:rPr>
          <w:rFonts w:hint="eastAsia" w:eastAsia="仿宋_GB2312" w:cs="Times New Roman"/>
          <w:color w:val="auto"/>
          <w:sz w:val="32"/>
          <w:szCs w:val="32"/>
        </w:rPr>
        <w:t>老友粉酸笋</w:t>
      </w:r>
      <w:r>
        <w:rPr>
          <w:rFonts w:hint="default" w:eastAsia="仿宋_GB2312" w:cs="Times New Roman"/>
          <w:color w:val="auto"/>
          <w:sz w:val="32"/>
          <w:szCs w:val="32"/>
        </w:rPr>
        <w:t>有选用</w:t>
      </w:r>
      <w:r>
        <w:rPr>
          <w:rFonts w:hint="eastAsia" w:eastAsia="仿宋_GB2312" w:cs="Times New Roman"/>
          <w:color w:val="auto"/>
          <w:sz w:val="32"/>
          <w:szCs w:val="32"/>
        </w:rPr>
        <w:t>麻竹、</w:t>
      </w:r>
      <w:r>
        <w:rPr>
          <w:rFonts w:hint="eastAsia" w:eastAsia="仿宋_GB2312" w:cs="Times New Roman"/>
          <w:color w:val="auto"/>
          <w:sz w:val="32"/>
          <w:szCs w:val="32"/>
          <w:lang w:val="en-US" w:eastAsia="zh-CN"/>
        </w:rPr>
        <w:t>大头</w:t>
      </w:r>
      <w:r>
        <w:rPr>
          <w:rFonts w:hint="default" w:eastAsia="仿宋_GB2312" w:cs="Times New Roman"/>
          <w:color w:val="auto"/>
          <w:sz w:val="32"/>
          <w:szCs w:val="32"/>
        </w:rPr>
        <w:t>甜竹笋</w:t>
      </w:r>
      <w:r>
        <w:rPr>
          <w:rFonts w:hint="eastAsia" w:eastAsia="仿宋_GB2312" w:cs="Times New Roman"/>
          <w:color w:val="auto"/>
          <w:sz w:val="32"/>
          <w:szCs w:val="32"/>
        </w:rPr>
        <w:t>等竹子</w:t>
      </w:r>
      <w:r>
        <w:rPr>
          <w:rFonts w:hint="eastAsia" w:eastAsia="仿宋_GB2312" w:cs="Times New Roman"/>
          <w:sz w:val="32"/>
          <w:szCs w:val="32"/>
        </w:rPr>
        <w:t>的新鲜竹笋为原料，浸泡于山泉水、清水或低浓度盐水中，经自然发酵得到一定酸度的传统食材。其中以麻竹产量比例最大。</w:t>
      </w:r>
    </w:p>
    <w:p w14:paraId="6FD88189">
      <w:pPr>
        <w:overflowPunct w:val="0"/>
        <w:topLinePunct/>
        <w:spacing w:line="560" w:lineRule="exact"/>
        <w:ind w:firstLine="640"/>
        <w:rPr>
          <w:rFonts w:hint="eastAsia" w:hAnsi="宋体"/>
          <w:sz w:val="24"/>
          <w:szCs w:val="24"/>
        </w:rPr>
      </w:pPr>
      <w:r>
        <w:rPr>
          <w:rFonts w:hint="eastAsia" w:eastAsia="仿宋_GB2312" w:cs="Times New Roman"/>
          <w:sz w:val="32"/>
          <w:szCs w:val="32"/>
        </w:rPr>
        <w:t>广西笋用竹类资源丰富，适宜笋用的竹种有</w:t>
      </w:r>
      <w:r>
        <w:rPr>
          <w:rFonts w:hint="eastAsia" w:eastAsia="仿宋_GB2312" w:cs="Times New Roman"/>
          <w:sz w:val="32"/>
          <w:szCs w:val="32"/>
          <w:lang w:eastAsia="zh-CN"/>
        </w:rPr>
        <w:t>6</w:t>
      </w:r>
      <w:r>
        <w:rPr>
          <w:rFonts w:hint="eastAsia" w:eastAsia="仿宋_GB2312" w:cs="Times New Roman"/>
          <w:sz w:val="32"/>
          <w:szCs w:val="32"/>
        </w:rPr>
        <w:t>属41种。南宁位于北回归线南侧，属湿润的亚热带季风气候，光热资源充足，年积温较高，雨量充沛，是笋用竹的适生栽培区域，发展竹笋产业具有得天独厚的自然条件和区域优势。目前南宁市竹笋还存在如下问题，一是种植规模小，面积仅约3.9万亩，主要分布在良庆区、横县、宾阳县、马山县、邕宁区等地，年竹笋产量仅200万斤，竹笋原材料产能不足；二是大部分竹林缺乏科学的经营管理，林分的立竹结构和年龄结构不合理，林地卫生条件、通风透光条件较差，林地养分供给不足，产量减少，竹笋品质下降，经济效益低下，群众种植笋用竹的积极性不高；三是种植的品种单一，南宁市种植的笋用竹主要有麻竹，约3.43万亩，以及少量的吊丝球竹、绿竹和勃氏甜龙竹等，造成笋用竹品种较单一。这些问题导致南宁市竹笋产业在产量、质量和多样性都无法满足南宁老友粉产业发展的需要。同时对竹笋的质量要求参差不齐，缺乏统一的质量标准，影响老友粉产业的标准化和知名度。</w:t>
      </w:r>
    </w:p>
    <w:p w14:paraId="5FEE67D1">
      <w:pPr>
        <w:pStyle w:val="7"/>
        <w:widowControl/>
        <w:spacing w:before="0" w:beforeAutospacing="0" w:after="0" w:afterAutospacing="0" w:line="520" w:lineRule="exact"/>
        <w:ind w:firstLine="640" w:firstLineChars="200"/>
        <w:jc w:val="both"/>
        <w:rPr>
          <w:rFonts w:eastAsia="仿宋_GB2312" w:cs="Times New Roman"/>
          <w:sz w:val="32"/>
          <w:szCs w:val="32"/>
        </w:rPr>
      </w:pPr>
      <w:r>
        <w:rPr>
          <w:rFonts w:hint="eastAsia" w:eastAsia="仿宋_GB2312"/>
          <w:sz w:val="32"/>
          <w:szCs w:val="32"/>
        </w:rPr>
        <w:t>目前市场上没有统一的南宁老友粉原料  竹笋标准。</w:t>
      </w:r>
    </w:p>
    <w:p w14:paraId="5811B14A">
      <w:pPr>
        <w:pStyle w:val="7"/>
        <w:widowControl/>
        <w:spacing w:before="0" w:beforeAutospacing="0" w:after="0" w:afterAutospacing="0" w:line="520" w:lineRule="exact"/>
        <w:ind w:firstLine="640" w:firstLineChars="200"/>
        <w:jc w:val="both"/>
        <w:rPr>
          <w:rFonts w:hint="default" w:eastAsia="仿宋_GB2312" w:cs="Times New Roman"/>
          <w:sz w:val="32"/>
          <w:szCs w:val="32"/>
          <w:lang w:val="en-US" w:eastAsia="zh-CN"/>
        </w:rPr>
      </w:pPr>
      <w:r>
        <w:rPr>
          <w:rFonts w:hint="eastAsia" w:eastAsia="仿宋_GB2312" w:cs="Times New Roman"/>
          <w:sz w:val="32"/>
          <w:szCs w:val="32"/>
        </w:rPr>
        <w:t>因此，制定《南宁老友粉原料 竹笋》标准，</w:t>
      </w:r>
      <w:r>
        <w:rPr>
          <w:rFonts w:hint="eastAsia" w:eastAsia="仿宋_GB2312" w:cs="Times New Roman"/>
          <w:kern w:val="2"/>
          <w:sz w:val="32"/>
          <w:szCs w:val="32"/>
        </w:rPr>
        <w:t>符合习近平总书记有关广西重要讲话的内涵要义与实践要求，是贯彻落实</w:t>
      </w:r>
      <w:r>
        <w:rPr>
          <w:rFonts w:eastAsia="仿宋_GB2312" w:cs="Times New Roman"/>
          <w:kern w:val="2"/>
          <w:sz w:val="32"/>
          <w:szCs w:val="32"/>
        </w:rPr>
        <w:t>《若干措施</w:t>
      </w:r>
      <w:r>
        <w:rPr>
          <w:rFonts w:eastAsia="仿宋_GB2312" w:cs="Times New Roman"/>
          <w:sz w:val="32"/>
          <w:szCs w:val="32"/>
        </w:rPr>
        <w:t>》</w:t>
      </w:r>
      <w:r>
        <w:rPr>
          <w:rFonts w:hint="eastAsia" w:eastAsia="仿宋_GB2312" w:cs="Times New Roman"/>
          <w:sz w:val="32"/>
          <w:szCs w:val="32"/>
        </w:rPr>
        <w:t>《三年行动方案》的要求，也是建立南宁老友粉全产业链高质量发展标准体系的需要，不仅有助于提高南宁市竹笋产业的产出能力与品质、提升竹笋“三品一标”认证规模进而提高竹农的经济收益，更能推动南宁市区域竹笋产业本地化、规模化生产、保障南宁老友粉竹笋原料的高质量供给</w:t>
      </w:r>
      <w:r>
        <w:rPr>
          <w:rFonts w:hint="eastAsia" w:eastAsia="仿宋_GB2312" w:cs="Times New Roman"/>
          <w:sz w:val="32"/>
          <w:szCs w:val="32"/>
          <w:lang w:eastAsia="zh-CN"/>
        </w:rPr>
        <w:t>，</w:t>
      </w:r>
      <w:r>
        <w:rPr>
          <w:rFonts w:hint="eastAsia" w:eastAsia="仿宋_GB2312" w:cs="Times New Roman"/>
          <w:sz w:val="32"/>
          <w:szCs w:val="32"/>
          <w:lang w:val="en-US" w:eastAsia="zh-CN"/>
        </w:rPr>
        <w:t>从而筛选出符合南宁老友粉酸笋用原料，满足脆嫩的口感和自然发酵产生的醇厚酸味要求。</w:t>
      </w:r>
    </w:p>
    <w:p w14:paraId="39CB4118">
      <w:pPr>
        <w:numPr>
          <w:ilvl w:val="0"/>
          <w:numId w:val="2"/>
        </w:numPr>
        <w:tabs>
          <w:tab w:val="left" w:pos="600"/>
        </w:tabs>
        <w:overflowPunct w:val="0"/>
        <w:topLinePunct/>
        <w:spacing w:line="560" w:lineRule="exact"/>
        <w:outlineLvl w:val="0"/>
        <w:rPr>
          <w:rFonts w:eastAsia="黑体"/>
          <w:bCs/>
          <w:sz w:val="32"/>
          <w:szCs w:val="32"/>
        </w:rPr>
      </w:pPr>
      <w:r>
        <w:rPr>
          <w:rFonts w:hint="eastAsia" w:eastAsia="黑体"/>
          <w:bCs/>
          <w:sz w:val="32"/>
          <w:szCs w:val="32"/>
        </w:rPr>
        <w:t>标准编制过程</w:t>
      </w:r>
    </w:p>
    <w:p w14:paraId="458D0E0F">
      <w:pPr>
        <w:numPr>
          <w:ilvl w:val="0"/>
          <w:numId w:val="3"/>
        </w:numPr>
        <w:spacing w:line="520" w:lineRule="exact"/>
        <w:ind w:left="600"/>
        <w:rPr>
          <w:rFonts w:hint="eastAsia" w:ascii="楷体" w:hAnsi="楷体" w:eastAsia="楷体"/>
          <w:b/>
          <w:sz w:val="32"/>
          <w:szCs w:val="32"/>
          <w:lang w:val="zh-CN"/>
        </w:rPr>
      </w:pPr>
      <w:r>
        <w:rPr>
          <w:rFonts w:hint="eastAsia" w:ascii="楷体" w:hAnsi="楷体" w:eastAsia="楷体"/>
          <w:b/>
          <w:sz w:val="32"/>
          <w:szCs w:val="32"/>
          <w:lang w:val="zh-CN"/>
        </w:rPr>
        <w:t>成立标准编制工作组</w:t>
      </w:r>
    </w:p>
    <w:p w14:paraId="40C2C14C">
      <w:pPr>
        <w:spacing w:line="520" w:lineRule="exact"/>
        <w:ind w:firstLine="640" w:firstLineChars="200"/>
        <w:rPr>
          <w:rFonts w:eastAsia="仿宋_GB2312" w:cs="Times New Roman"/>
          <w:sz w:val="32"/>
          <w:szCs w:val="32"/>
          <w:lang w:val="zh-CN"/>
        </w:rPr>
      </w:pPr>
      <w:r>
        <w:rPr>
          <w:rFonts w:hint="eastAsia" w:ascii="仿宋_GB2312" w:eastAsia="仿宋_GB2312" w:cs="Times New Roman"/>
          <w:sz w:val="32"/>
          <w:szCs w:val="32"/>
          <w:lang w:val="zh-CN"/>
        </w:rPr>
        <w:t>团体标准《南宁市老友粉原料</w:t>
      </w:r>
      <w:r>
        <w:rPr>
          <w:rFonts w:hint="eastAsia" w:ascii="仿宋_GB2312" w:eastAsia="仿宋_GB2312" w:cs="Times New Roman"/>
          <w:sz w:val="32"/>
          <w:szCs w:val="32"/>
        </w:rPr>
        <w:t xml:space="preserve"> </w:t>
      </w:r>
      <w:r>
        <w:rPr>
          <w:rFonts w:hint="eastAsia" w:ascii="仿宋_GB2312" w:eastAsia="仿宋_GB2312" w:cs="Times New Roman"/>
          <w:sz w:val="32"/>
          <w:szCs w:val="32"/>
          <w:lang w:val="en-US" w:eastAsia="zh-CN"/>
        </w:rPr>
        <w:t xml:space="preserve"> </w:t>
      </w:r>
      <w:r>
        <w:rPr>
          <w:rFonts w:hint="eastAsia" w:ascii="仿宋_GB2312" w:eastAsia="仿宋_GB2312" w:cs="Times New Roman"/>
          <w:sz w:val="32"/>
          <w:szCs w:val="32"/>
        </w:rPr>
        <w:t>竹笋</w:t>
      </w:r>
      <w:r>
        <w:rPr>
          <w:rFonts w:hint="eastAsia" w:ascii="仿宋_GB2312" w:eastAsia="仿宋_GB2312" w:cs="Times New Roman"/>
          <w:sz w:val="32"/>
          <w:szCs w:val="32"/>
          <w:lang w:val="zh-CN"/>
        </w:rPr>
        <w:t>》项目任务下达后，南宁市林业科学研究所成立了标准编制工作组，制定标准编写方案，明确任务职责，确定工作技术路线，开展标准研制工作。具体标准编制工作由</w:t>
      </w:r>
      <w:r>
        <w:rPr>
          <w:rFonts w:hint="eastAsia" w:ascii="仿宋_GB2312" w:eastAsia="仿宋_GB2312" w:cs="Times New Roman"/>
          <w:sz w:val="32"/>
          <w:szCs w:val="32"/>
        </w:rPr>
        <w:t>南宁市林业科学研究所、广西壮族自治区</w:t>
      </w:r>
      <w:r>
        <w:rPr>
          <w:rFonts w:hint="eastAsia" w:eastAsia="仿宋_GB2312" w:cs="Times New Roman"/>
          <w:sz w:val="32"/>
          <w:szCs w:val="32"/>
        </w:rPr>
        <w:t>林业科学研究院、南宁市老友粉协会、广西复记食品科技有限公司、广西穗良甜竹科技有限公司、广西南宁市韩太食品有限责任公司、横州市威和食品有限公司</w:t>
      </w:r>
      <w:r>
        <w:rPr>
          <w:rFonts w:hint="eastAsia" w:eastAsia="仿宋_GB2312"/>
          <w:sz w:val="32"/>
          <w:szCs w:val="32"/>
        </w:rPr>
        <w:t>等单位</w:t>
      </w:r>
      <w:r>
        <w:rPr>
          <w:rFonts w:hint="eastAsia" w:eastAsia="仿宋_GB2312" w:cs="Times New Roman"/>
          <w:sz w:val="32"/>
          <w:szCs w:val="32"/>
          <w:lang w:val="zh-CN"/>
        </w:rPr>
        <w:t>的相关人员</w:t>
      </w:r>
      <w:r>
        <w:rPr>
          <w:rFonts w:hint="eastAsia" w:eastAsia="仿宋_GB2312" w:cs="Times New Roman"/>
          <w:sz w:val="32"/>
          <w:szCs w:val="32"/>
        </w:rPr>
        <w:t>共同</w:t>
      </w:r>
      <w:r>
        <w:rPr>
          <w:rFonts w:hint="eastAsia" w:eastAsia="仿宋_GB2312" w:cs="Times New Roman"/>
          <w:sz w:val="32"/>
          <w:szCs w:val="32"/>
          <w:lang w:val="zh-CN"/>
        </w:rPr>
        <w:t>完成。</w:t>
      </w:r>
    </w:p>
    <w:p w14:paraId="4D423DF5">
      <w:pPr>
        <w:overflowPunct w:val="0"/>
        <w:topLinePunct/>
        <w:spacing w:line="560" w:lineRule="exact"/>
        <w:ind w:firstLine="640"/>
        <w:rPr>
          <w:rFonts w:eastAsia="仿宋_GB2312"/>
          <w:sz w:val="32"/>
          <w:szCs w:val="32"/>
        </w:rPr>
      </w:pPr>
      <w:r>
        <w:rPr>
          <w:rFonts w:hint="eastAsia" w:eastAsia="仿宋_GB2312"/>
          <w:sz w:val="32"/>
          <w:szCs w:val="32"/>
        </w:rPr>
        <w:t>编制工作组下设资料收集组和草案编写组。资料收集组负责国内有关南宁老友粉原料竹笋的文献资料的查询、对相关企业种植基地调研收集的经验做法等资料、开展各项试验检测数据资料的收集和整理工作。</w:t>
      </w:r>
    </w:p>
    <w:p w14:paraId="6EE81BAC">
      <w:pPr>
        <w:overflowPunct w:val="0"/>
        <w:topLinePunct/>
        <w:spacing w:line="560" w:lineRule="exact"/>
        <w:ind w:firstLine="640"/>
        <w:rPr>
          <w:rFonts w:eastAsia="仿宋_GB2312"/>
          <w:sz w:val="32"/>
          <w:szCs w:val="32"/>
        </w:rPr>
      </w:pPr>
      <w:r>
        <w:rPr>
          <w:rFonts w:hint="eastAsia" w:eastAsia="仿宋_GB2312"/>
          <w:sz w:val="32"/>
          <w:szCs w:val="32"/>
        </w:rPr>
        <w:t>草案编写组负责起草标准草案、征求意见稿和标准编制说明、送审稿及编制说明的编写工作，包括后期召开征求意见会、网上征求意见，以及标准的不断修改和完善。</w:t>
      </w:r>
    </w:p>
    <w:p w14:paraId="44D3AD8C">
      <w:pPr>
        <w:numPr>
          <w:ilvl w:val="0"/>
          <w:numId w:val="3"/>
        </w:numPr>
        <w:spacing w:line="520" w:lineRule="exact"/>
        <w:ind w:left="600"/>
        <w:rPr>
          <w:rFonts w:hint="eastAsia" w:ascii="楷体" w:hAnsi="楷体" w:eastAsia="楷体"/>
          <w:b/>
          <w:sz w:val="32"/>
          <w:szCs w:val="32"/>
          <w:lang w:val="zh-CN"/>
        </w:rPr>
      </w:pPr>
      <w:r>
        <w:rPr>
          <w:rFonts w:hint="eastAsia" w:ascii="楷体" w:hAnsi="楷体" w:eastAsia="楷体"/>
          <w:b/>
          <w:sz w:val="32"/>
          <w:szCs w:val="32"/>
          <w:lang w:val="zh-CN"/>
        </w:rPr>
        <w:t>收集整理文献资料</w:t>
      </w:r>
    </w:p>
    <w:p w14:paraId="07B5ABAE">
      <w:pPr>
        <w:pStyle w:val="7"/>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lang w:val="zh-CN"/>
        </w:rPr>
        <w:t>标准编制工作组收集了国内有关</w:t>
      </w:r>
      <w:r>
        <w:rPr>
          <w:rFonts w:hint="eastAsia" w:eastAsia="仿宋_GB2312" w:cs="Times New Roman"/>
          <w:sz w:val="32"/>
          <w:szCs w:val="32"/>
        </w:rPr>
        <w:t>南宁老友粉原料竹笋相关文献资料。</w:t>
      </w:r>
      <w:r>
        <w:rPr>
          <w:rFonts w:hint="eastAsia" w:eastAsia="仿宋_GB2312" w:cs="Times New Roman"/>
          <w:sz w:val="32"/>
          <w:szCs w:val="32"/>
          <w:lang w:val="zh-CN"/>
        </w:rPr>
        <w:t>具体列出如下：</w:t>
      </w:r>
    </w:p>
    <w:p w14:paraId="3E70A39B">
      <w:pPr>
        <w:pStyle w:val="7"/>
        <w:widowControl/>
        <w:spacing w:before="0" w:beforeAutospacing="0" w:after="0" w:afterAutospacing="0" w:line="520" w:lineRule="exact"/>
        <w:ind w:firstLine="640" w:firstLineChars="200"/>
        <w:jc w:val="both"/>
        <w:rPr>
          <w:rFonts w:eastAsia="仿宋_GB2312" w:cs="Times New Roman"/>
          <w:sz w:val="32"/>
          <w:szCs w:val="32"/>
          <w:lang w:val="zh-CN"/>
        </w:rPr>
      </w:pPr>
      <w:r>
        <w:rPr>
          <w:rFonts w:eastAsia="仿宋_GB2312" w:cs="Times New Roman"/>
          <w:sz w:val="32"/>
          <w:szCs w:val="32"/>
        </w:rPr>
        <w:t>GB 2763 食品安全国家标准  食品中农药最大残留限量</w:t>
      </w:r>
      <w:r>
        <w:rPr>
          <w:rFonts w:hint="eastAsia" w:eastAsia="仿宋_GB2312" w:cs="Times New Roman"/>
          <w:sz w:val="32"/>
          <w:szCs w:val="32"/>
          <w:lang w:eastAsia="zh-CN"/>
        </w:rPr>
        <w:t>、</w:t>
      </w:r>
      <w:r>
        <w:rPr>
          <w:rFonts w:eastAsia="仿宋_GB2312" w:cs="Times New Roman"/>
          <w:sz w:val="32"/>
          <w:szCs w:val="32"/>
        </w:rPr>
        <w:t>GB 2762 食品安全国家标准  食品中污染物限量</w:t>
      </w:r>
      <w:r>
        <w:rPr>
          <w:rFonts w:hint="eastAsia" w:eastAsia="仿宋_GB2312" w:cs="Times New Roman"/>
          <w:sz w:val="32"/>
          <w:szCs w:val="32"/>
          <w:lang w:eastAsia="zh-CN"/>
        </w:rPr>
        <w:t>、</w:t>
      </w:r>
      <w:r>
        <w:rPr>
          <w:rFonts w:eastAsia="仿宋_GB2312" w:cs="Times New Roman"/>
          <w:sz w:val="32"/>
          <w:szCs w:val="32"/>
        </w:rPr>
        <w:t xml:space="preserve">GB 2714 食品安全国家标准 </w:t>
      </w:r>
      <w:r>
        <w:rPr>
          <w:rFonts w:hint="eastAsia" w:eastAsia="仿宋_GB2312" w:cs="Times New Roman"/>
          <w:sz w:val="32"/>
          <w:szCs w:val="32"/>
        </w:rPr>
        <w:t xml:space="preserve"> </w:t>
      </w:r>
      <w:r>
        <w:rPr>
          <w:rFonts w:eastAsia="仿宋_GB2312" w:cs="Times New Roman"/>
          <w:sz w:val="32"/>
          <w:szCs w:val="32"/>
        </w:rPr>
        <w:t>酱腌菜</w:t>
      </w:r>
      <w:r>
        <w:rPr>
          <w:rFonts w:hint="eastAsia" w:eastAsia="仿宋_GB2312" w:cs="Times New Roman"/>
          <w:sz w:val="32"/>
          <w:szCs w:val="32"/>
          <w:lang w:eastAsia="zh-CN"/>
        </w:rPr>
        <w:t>、</w:t>
      </w:r>
      <w:r>
        <w:rPr>
          <w:rFonts w:hint="eastAsia" w:eastAsia="仿宋_GB2312" w:cs="Times New Roman"/>
          <w:sz w:val="32"/>
          <w:szCs w:val="32"/>
        </w:rPr>
        <w:t>GB 5009.3食品安全国家标准  食品中水分的测定</w:t>
      </w:r>
      <w:r>
        <w:rPr>
          <w:rFonts w:hint="eastAsia" w:eastAsia="仿宋_GB2312" w:cs="Times New Roman"/>
          <w:sz w:val="32"/>
          <w:szCs w:val="32"/>
          <w:lang w:eastAsia="zh-CN"/>
        </w:rPr>
        <w:t>、</w:t>
      </w:r>
      <w:r>
        <w:rPr>
          <w:rFonts w:eastAsia="仿宋_GB2312" w:cs="Times New Roman"/>
          <w:sz w:val="32"/>
          <w:szCs w:val="32"/>
        </w:rPr>
        <w:t xml:space="preserve">GB/T 191  </w:t>
      </w:r>
      <w:r>
        <w:rPr>
          <w:rFonts w:hint="eastAsia" w:eastAsia="仿宋_GB2312" w:cs="Times New Roman"/>
          <w:sz w:val="32"/>
          <w:szCs w:val="32"/>
        </w:rPr>
        <w:t>包装储运图示标志</w:t>
      </w:r>
      <w:r>
        <w:rPr>
          <w:rFonts w:hint="eastAsia" w:eastAsia="仿宋_GB2312" w:cs="Times New Roman"/>
          <w:sz w:val="32"/>
          <w:szCs w:val="32"/>
          <w:lang w:eastAsia="zh-CN"/>
        </w:rPr>
        <w:t>、</w:t>
      </w:r>
      <w:r>
        <w:rPr>
          <w:rFonts w:hint="eastAsia" w:eastAsia="仿宋_GB2312" w:cs="Times New Roman"/>
          <w:sz w:val="32"/>
          <w:szCs w:val="32"/>
        </w:rPr>
        <w:t>GB/T 5009.10植物类食品中粗纤维的测定</w:t>
      </w:r>
      <w:r>
        <w:rPr>
          <w:rFonts w:hint="eastAsia" w:eastAsia="仿宋_GB2312" w:cs="Times New Roman"/>
          <w:sz w:val="32"/>
          <w:szCs w:val="32"/>
          <w:lang w:eastAsia="zh-CN"/>
        </w:rPr>
        <w:t>、</w:t>
      </w:r>
      <w:r>
        <w:rPr>
          <w:rFonts w:eastAsia="仿宋_GB2312" w:cs="Times New Roman"/>
          <w:sz w:val="32"/>
          <w:szCs w:val="32"/>
        </w:rPr>
        <w:t xml:space="preserve">GB/T 32950 </w:t>
      </w:r>
      <w:r>
        <w:rPr>
          <w:rFonts w:hint="eastAsia" w:eastAsia="仿宋_GB2312" w:cs="Times New Roman"/>
          <w:sz w:val="32"/>
          <w:szCs w:val="32"/>
        </w:rPr>
        <w:t>鲜活农产品标签标识</w:t>
      </w:r>
      <w:r>
        <w:rPr>
          <w:rFonts w:hint="eastAsia" w:eastAsia="仿宋_GB2312" w:cs="Times New Roman"/>
          <w:sz w:val="32"/>
          <w:szCs w:val="32"/>
          <w:lang w:eastAsia="zh-CN"/>
        </w:rPr>
        <w:t>、</w:t>
      </w:r>
      <w:r>
        <w:rPr>
          <w:rFonts w:eastAsia="仿宋_GB2312" w:cs="Times New Roman"/>
          <w:sz w:val="32"/>
          <w:szCs w:val="32"/>
        </w:rPr>
        <w:t xml:space="preserve">GB/T 34343  </w:t>
      </w:r>
      <w:r>
        <w:rPr>
          <w:rFonts w:hint="eastAsia" w:eastAsia="仿宋_GB2312" w:cs="Times New Roman"/>
          <w:sz w:val="32"/>
          <w:szCs w:val="32"/>
        </w:rPr>
        <w:t>农产品物流包装容器通用技术要求</w:t>
      </w:r>
      <w:r>
        <w:rPr>
          <w:rFonts w:hint="eastAsia" w:eastAsia="仿宋_GB2312" w:cs="Times New Roman"/>
          <w:sz w:val="32"/>
          <w:szCs w:val="32"/>
          <w:lang w:eastAsia="zh-CN"/>
        </w:rPr>
        <w:t>、</w:t>
      </w:r>
      <w:r>
        <w:rPr>
          <w:rFonts w:eastAsia="仿宋_GB2312" w:cs="Times New Roman"/>
          <w:sz w:val="32"/>
          <w:szCs w:val="32"/>
        </w:rPr>
        <w:t>GB/T</w:t>
      </w:r>
      <w:r>
        <w:rPr>
          <w:rFonts w:hint="eastAsia" w:eastAsia="仿宋_GB2312" w:cs="Times New Roman"/>
          <w:sz w:val="32"/>
          <w:szCs w:val="32"/>
        </w:rPr>
        <w:t xml:space="preserve"> 32770-2016 竹子名词术语</w:t>
      </w:r>
      <w:r>
        <w:rPr>
          <w:rFonts w:hint="eastAsia" w:eastAsia="仿宋_GB2312" w:cs="Times New Roman"/>
          <w:sz w:val="32"/>
          <w:szCs w:val="32"/>
          <w:lang w:eastAsia="zh-CN"/>
        </w:rPr>
        <w:t>、</w:t>
      </w:r>
      <w:r>
        <w:rPr>
          <w:rFonts w:hint="eastAsia" w:eastAsia="仿宋_GB2312" w:cs="Times New Roman"/>
          <w:sz w:val="32"/>
          <w:szCs w:val="32"/>
        </w:rPr>
        <w:t>GB/T 30762-2014 主要竹笋质量分级</w:t>
      </w:r>
      <w:r>
        <w:rPr>
          <w:rFonts w:hint="eastAsia" w:eastAsia="仿宋_GB2312" w:cs="Times New Roman"/>
          <w:sz w:val="32"/>
          <w:szCs w:val="32"/>
          <w:lang w:eastAsia="zh-CN"/>
        </w:rPr>
        <w:t>、</w:t>
      </w:r>
      <w:r>
        <w:rPr>
          <w:rFonts w:eastAsia="仿宋_GB2312" w:cs="Times New Roman"/>
          <w:sz w:val="32"/>
          <w:szCs w:val="32"/>
        </w:rPr>
        <w:t>NY/T 2103 蔬菜抽样技术规范</w:t>
      </w:r>
      <w:r>
        <w:rPr>
          <w:rFonts w:hint="eastAsia" w:eastAsia="仿宋_GB2312" w:cs="Times New Roman"/>
          <w:sz w:val="32"/>
          <w:szCs w:val="32"/>
          <w:lang w:eastAsia="zh-CN"/>
        </w:rPr>
        <w:t>、</w:t>
      </w:r>
      <w:r>
        <w:rPr>
          <w:rFonts w:eastAsia="仿宋_GB2312" w:cs="Times New Roman"/>
          <w:sz w:val="32"/>
          <w:szCs w:val="32"/>
        </w:rPr>
        <w:t xml:space="preserve">LY/T </w:t>
      </w:r>
      <w:r>
        <w:rPr>
          <w:rFonts w:hint="eastAsia" w:eastAsia="仿宋_GB2312" w:cs="Times New Roman"/>
          <w:sz w:val="32"/>
          <w:szCs w:val="32"/>
        </w:rPr>
        <w:t>2338麻竹栽培技术规程</w:t>
      </w:r>
      <w:r>
        <w:rPr>
          <w:rFonts w:hint="eastAsia" w:eastAsia="仿宋_GB2312" w:cs="Times New Roman"/>
          <w:sz w:val="32"/>
          <w:szCs w:val="32"/>
          <w:lang w:eastAsia="zh-CN"/>
        </w:rPr>
        <w:t>、</w:t>
      </w:r>
      <w:r>
        <w:rPr>
          <w:rFonts w:hint="eastAsia" w:eastAsia="仿宋_GB2312" w:cs="Times New Roman"/>
          <w:sz w:val="32"/>
          <w:szCs w:val="32"/>
        </w:rPr>
        <w:t>DB45/T 1776-2018 麻竹低产林改造技术规程</w:t>
      </w:r>
      <w:r>
        <w:rPr>
          <w:rFonts w:hint="eastAsia" w:eastAsia="仿宋_GB2312" w:cs="Times New Roman"/>
          <w:sz w:val="32"/>
          <w:szCs w:val="32"/>
          <w:lang w:eastAsia="zh-CN"/>
        </w:rPr>
        <w:t>、</w:t>
      </w:r>
      <w:r>
        <w:rPr>
          <w:rFonts w:eastAsia="仿宋_GB2312" w:cs="Times New Roman"/>
          <w:sz w:val="32"/>
          <w:szCs w:val="32"/>
        </w:rPr>
        <w:t>DBS 45/053</w:t>
      </w:r>
      <w:r>
        <w:rPr>
          <w:rFonts w:hint="eastAsia" w:eastAsia="仿宋_GB2312" w:cs="Times New Roman"/>
          <w:sz w:val="32"/>
          <w:szCs w:val="32"/>
        </w:rPr>
        <w:t>-</w:t>
      </w:r>
      <w:r>
        <w:rPr>
          <w:rFonts w:eastAsia="仿宋_GB2312" w:cs="Times New Roman"/>
          <w:sz w:val="32"/>
          <w:szCs w:val="32"/>
        </w:rPr>
        <w:t>2018</w:t>
      </w:r>
      <w:r>
        <w:rPr>
          <w:rFonts w:hint="eastAsia" w:eastAsia="仿宋_GB2312" w:cs="Times New Roman"/>
          <w:sz w:val="32"/>
          <w:szCs w:val="32"/>
        </w:rPr>
        <w:t xml:space="preserve">  食品安全地方标准 南宁老友粉</w:t>
      </w:r>
      <w:r>
        <w:rPr>
          <w:rFonts w:hint="eastAsia" w:eastAsia="仿宋_GB2312" w:cs="Times New Roman"/>
          <w:sz w:val="32"/>
          <w:szCs w:val="32"/>
          <w:lang w:eastAsia="zh-CN"/>
        </w:rPr>
        <w:t>、</w:t>
      </w:r>
      <w:r>
        <w:rPr>
          <w:rFonts w:eastAsia="仿宋_GB2312" w:cs="Times New Roman"/>
          <w:sz w:val="32"/>
          <w:szCs w:val="32"/>
        </w:rPr>
        <w:t xml:space="preserve">DB35/T 1684-2017 </w:t>
      </w:r>
      <w:r>
        <w:rPr>
          <w:rFonts w:hint="eastAsia" w:eastAsia="仿宋_GB2312" w:cs="Times New Roman"/>
          <w:sz w:val="32"/>
          <w:szCs w:val="32"/>
        </w:rPr>
        <w:t>黄甜竹笋用林丰产栽培技术规程</w:t>
      </w:r>
      <w:r>
        <w:rPr>
          <w:rFonts w:hint="eastAsia" w:eastAsia="仿宋_GB2312" w:cs="Times New Roman"/>
          <w:sz w:val="32"/>
          <w:szCs w:val="32"/>
          <w:lang w:eastAsia="zh-CN"/>
        </w:rPr>
        <w:t>、</w:t>
      </w:r>
      <w:r>
        <w:rPr>
          <w:rFonts w:eastAsia="仿宋_GB2312" w:cs="Times New Roman"/>
          <w:sz w:val="32"/>
          <w:szCs w:val="32"/>
        </w:rPr>
        <w:t xml:space="preserve">DB36/T 1461-2021 </w:t>
      </w:r>
      <w:r>
        <w:rPr>
          <w:rFonts w:hint="eastAsia" w:eastAsia="仿宋_GB2312" w:cs="Times New Roman"/>
          <w:sz w:val="32"/>
          <w:szCs w:val="32"/>
        </w:rPr>
        <w:t>毛竹笋早出培育技术规程</w:t>
      </w:r>
      <w:r>
        <w:rPr>
          <w:rFonts w:hint="eastAsia" w:eastAsia="仿宋_GB2312" w:cs="Times New Roman"/>
          <w:sz w:val="32"/>
          <w:szCs w:val="32"/>
          <w:lang w:eastAsia="zh-CN"/>
        </w:rPr>
        <w:t>、</w:t>
      </w:r>
      <w:r>
        <w:rPr>
          <w:rFonts w:eastAsia="仿宋_GB2312" w:cs="Times New Roman"/>
          <w:sz w:val="32"/>
          <w:szCs w:val="32"/>
        </w:rPr>
        <w:t xml:space="preserve">DB35/T 1436-2014 </w:t>
      </w:r>
      <w:r>
        <w:rPr>
          <w:rFonts w:hint="eastAsia" w:eastAsia="仿宋_GB2312" w:cs="Times New Roman"/>
          <w:sz w:val="32"/>
          <w:szCs w:val="32"/>
        </w:rPr>
        <w:t>苦竹笋材两用林丰产培育技术规程</w:t>
      </w:r>
      <w:r>
        <w:rPr>
          <w:rFonts w:hint="eastAsia" w:eastAsia="仿宋_GB2312" w:cs="Times New Roman"/>
          <w:sz w:val="32"/>
          <w:szCs w:val="32"/>
          <w:lang w:eastAsia="zh-CN"/>
        </w:rPr>
        <w:t>、</w:t>
      </w:r>
      <w:r>
        <w:rPr>
          <w:rFonts w:eastAsia="仿宋_GB2312" w:cs="Times New Roman"/>
          <w:sz w:val="32"/>
          <w:szCs w:val="32"/>
        </w:rPr>
        <w:t xml:space="preserve">DB34/T 1584.3-2012 </w:t>
      </w:r>
      <w:r>
        <w:rPr>
          <w:rFonts w:hint="eastAsia" w:eastAsia="仿宋_GB2312" w:cs="Times New Roman"/>
          <w:sz w:val="32"/>
          <w:szCs w:val="32"/>
        </w:rPr>
        <w:t>雷竹笋用林培育技术规程</w:t>
      </w:r>
      <w:r>
        <w:rPr>
          <w:rFonts w:eastAsia="仿宋_GB2312" w:cs="Times New Roman"/>
          <w:sz w:val="32"/>
          <w:szCs w:val="32"/>
        </w:rPr>
        <w:t xml:space="preserve"> </w:t>
      </w:r>
      <w:r>
        <w:rPr>
          <w:rFonts w:hint="eastAsia" w:eastAsia="仿宋_GB2312" w:cs="Times New Roman"/>
          <w:sz w:val="32"/>
          <w:szCs w:val="32"/>
        </w:rPr>
        <w:t>第</w:t>
      </w:r>
      <w:r>
        <w:rPr>
          <w:rFonts w:eastAsia="仿宋_GB2312" w:cs="Times New Roman"/>
          <w:sz w:val="32"/>
          <w:szCs w:val="32"/>
        </w:rPr>
        <w:t>3</w:t>
      </w:r>
      <w:r>
        <w:rPr>
          <w:rFonts w:hint="eastAsia" w:eastAsia="仿宋_GB2312" w:cs="Times New Roman"/>
          <w:sz w:val="32"/>
          <w:szCs w:val="32"/>
        </w:rPr>
        <w:t>部分</w:t>
      </w:r>
      <w:r>
        <w:rPr>
          <w:rFonts w:hint="eastAsia" w:eastAsia="仿宋_GB2312" w:cs="Times New Roman"/>
          <w:sz w:val="32"/>
          <w:szCs w:val="32"/>
          <w:lang w:eastAsia="zh-CN"/>
        </w:rPr>
        <w:t>：</w:t>
      </w:r>
      <w:r>
        <w:rPr>
          <w:rFonts w:hint="eastAsia" w:eastAsia="仿宋_GB2312" w:cs="Times New Roman"/>
          <w:sz w:val="32"/>
          <w:szCs w:val="32"/>
        </w:rPr>
        <w:t>培育技术</w:t>
      </w:r>
      <w:r>
        <w:rPr>
          <w:rFonts w:hint="eastAsia" w:eastAsia="仿宋_GB2312" w:cs="Times New Roman"/>
          <w:sz w:val="32"/>
          <w:szCs w:val="32"/>
          <w:lang w:eastAsia="zh-CN"/>
        </w:rPr>
        <w:t>、</w:t>
      </w:r>
      <w:r>
        <w:rPr>
          <w:rFonts w:hint="eastAsia" w:eastAsia="仿宋_GB2312" w:cs="Times New Roman"/>
          <w:sz w:val="32"/>
          <w:szCs w:val="32"/>
        </w:rPr>
        <w:t>DB44/T 358-2006 麻竹笋栽培技术规程</w:t>
      </w:r>
      <w:r>
        <w:rPr>
          <w:rFonts w:hint="eastAsia" w:eastAsia="仿宋_GB2312" w:cs="Times New Roman"/>
          <w:sz w:val="32"/>
          <w:szCs w:val="32"/>
          <w:lang w:eastAsia="zh-CN"/>
        </w:rPr>
        <w:t>、</w:t>
      </w:r>
      <w:r>
        <w:rPr>
          <w:rFonts w:eastAsia="仿宋_GB2312" w:cs="Times New Roman"/>
          <w:sz w:val="32"/>
          <w:szCs w:val="32"/>
        </w:rPr>
        <w:t>DB45/T 905—2019地理标志产品 八渡笋</w:t>
      </w:r>
      <w:r>
        <w:rPr>
          <w:rFonts w:hint="eastAsia" w:eastAsia="仿宋_GB2312" w:cs="Times New Roman"/>
          <w:sz w:val="32"/>
          <w:szCs w:val="32"/>
          <w:lang w:eastAsia="zh-CN"/>
        </w:rPr>
        <w:t>、</w:t>
      </w:r>
      <w:r>
        <w:rPr>
          <w:rFonts w:eastAsia="仿宋_GB2312" w:cs="Times New Roman"/>
          <w:sz w:val="32"/>
          <w:szCs w:val="32"/>
        </w:rPr>
        <w:t>DB4502/T 0040</w:t>
      </w:r>
      <w:r>
        <w:rPr>
          <w:rFonts w:hint="eastAsia" w:eastAsia="仿宋_GB2312" w:cs="Times New Roman"/>
          <w:sz w:val="32"/>
          <w:szCs w:val="32"/>
        </w:rPr>
        <w:t>-</w:t>
      </w:r>
      <w:r>
        <w:rPr>
          <w:rFonts w:eastAsia="仿宋_GB2312" w:cs="Times New Roman"/>
          <w:sz w:val="32"/>
          <w:szCs w:val="32"/>
        </w:rPr>
        <w:t>2022</w:t>
      </w:r>
      <w:r>
        <w:rPr>
          <w:rFonts w:hint="eastAsia" w:eastAsia="仿宋_GB2312" w:cs="Times New Roman"/>
          <w:sz w:val="32"/>
          <w:szCs w:val="32"/>
        </w:rPr>
        <w:t xml:space="preserve"> 柳州螺蛳粉原料 竹笋种植基地建设规范</w:t>
      </w:r>
      <w:r>
        <w:rPr>
          <w:rFonts w:hint="eastAsia" w:eastAsia="仿宋_GB2312" w:cs="Times New Roman"/>
          <w:sz w:val="32"/>
          <w:szCs w:val="32"/>
          <w:lang w:eastAsia="zh-CN"/>
        </w:rPr>
        <w:t>、</w:t>
      </w:r>
      <w:r>
        <w:rPr>
          <w:rFonts w:eastAsia="仿宋_GB2312" w:cs="Times New Roman"/>
          <w:sz w:val="32"/>
          <w:szCs w:val="32"/>
        </w:rPr>
        <w:t>DB4418/T 023—2023</w:t>
      </w:r>
      <w:r>
        <w:rPr>
          <w:rFonts w:hint="eastAsia" w:eastAsia="仿宋_GB2312" w:cs="Times New Roman"/>
          <w:sz w:val="32"/>
          <w:szCs w:val="32"/>
        </w:rPr>
        <w:t xml:space="preserve"> 西牛麻竹笋 种植基地建设规范</w:t>
      </w:r>
      <w:r>
        <w:rPr>
          <w:rFonts w:hint="eastAsia" w:eastAsia="仿宋_GB2312" w:cs="Times New Roman"/>
          <w:sz w:val="32"/>
          <w:szCs w:val="32"/>
          <w:lang w:eastAsia="zh-CN"/>
        </w:rPr>
        <w:t>、</w:t>
      </w:r>
      <w:r>
        <w:rPr>
          <w:rFonts w:eastAsia="仿宋_GB2312" w:cs="Times New Roman"/>
          <w:sz w:val="32"/>
          <w:szCs w:val="32"/>
        </w:rPr>
        <w:t>DB4418/T 022—2023</w:t>
      </w:r>
      <w:r>
        <w:rPr>
          <w:rFonts w:hint="eastAsia" w:eastAsia="仿宋_GB2312" w:cs="Times New Roman"/>
          <w:sz w:val="32"/>
          <w:szCs w:val="32"/>
        </w:rPr>
        <w:t xml:space="preserve"> 西牛麻竹笋 种植技术规程</w:t>
      </w:r>
      <w:r>
        <w:rPr>
          <w:rFonts w:hint="eastAsia" w:eastAsia="仿宋_GB2312" w:cs="Times New Roman"/>
          <w:sz w:val="32"/>
          <w:szCs w:val="32"/>
          <w:lang w:eastAsia="zh-CN"/>
        </w:rPr>
        <w:t>、</w:t>
      </w:r>
      <w:r>
        <w:rPr>
          <w:rFonts w:eastAsia="仿宋_GB2312" w:cs="Times New Roman"/>
          <w:sz w:val="32"/>
          <w:szCs w:val="32"/>
        </w:rPr>
        <w:t>DB4452/T 9-2022</w:t>
      </w:r>
      <w:r>
        <w:rPr>
          <w:rFonts w:hint="eastAsia" w:eastAsia="仿宋_GB2312" w:cs="Times New Roman"/>
          <w:sz w:val="32"/>
          <w:szCs w:val="32"/>
        </w:rPr>
        <w:t xml:space="preserve"> 竹笋栽培技术规程</w:t>
      </w:r>
      <w:r>
        <w:rPr>
          <w:rFonts w:hint="eastAsia" w:eastAsia="仿宋_GB2312" w:cs="Times New Roman"/>
          <w:sz w:val="32"/>
          <w:szCs w:val="32"/>
          <w:lang w:eastAsia="zh-CN"/>
        </w:rPr>
        <w:t>、</w:t>
      </w:r>
      <w:r>
        <w:rPr>
          <w:rFonts w:hint="eastAsia" w:eastAsia="仿宋_GB2312" w:cs="Times New Roman"/>
          <w:sz w:val="32"/>
          <w:szCs w:val="32"/>
          <w:lang w:val="zh-CN"/>
        </w:rPr>
        <w:t>GB 2763规定了食品中农药最大残留限量、GB 2763 规定了食品中污染物限量</w:t>
      </w:r>
      <w:r>
        <w:rPr>
          <w:rFonts w:hint="eastAsia" w:eastAsia="仿宋_GB2312" w:cs="Times New Roman"/>
          <w:sz w:val="32"/>
          <w:szCs w:val="32"/>
          <w:lang w:val="en-US" w:eastAsia="zh-CN"/>
        </w:rPr>
        <w:t>等</w:t>
      </w:r>
      <w:r>
        <w:rPr>
          <w:rFonts w:hint="eastAsia" w:eastAsia="仿宋_GB2312" w:cs="Times New Roman"/>
          <w:sz w:val="32"/>
          <w:szCs w:val="32"/>
          <w:lang w:val="zh-CN"/>
        </w:rPr>
        <w:t>。</w:t>
      </w:r>
    </w:p>
    <w:p w14:paraId="024136FF">
      <w:pPr>
        <w:numPr>
          <w:ilvl w:val="0"/>
          <w:numId w:val="3"/>
        </w:numPr>
        <w:spacing w:line="520" w:lineRule="exact"/>
        <w:ind w:left="600"/>
        <w:rPr>
          <w:rFonts w:hint="eastAsia" w:ascii="楷体" w:hAnsi="楷体" w:eastAsia="楷体"/>
          <w:b/>
          <w:sz w:val="32"/>
          <w:szCs w:val="32"/>
          <w:lang w:val="zh-CN"/>
        </w:rPr>
      </w:pPr>
      <w:r>
        <w:rPr>
          <w:rFonts w:hint="eastAsia" w:ascii="楷体" w:hAnsi="楷体" w:eastAsia="楷体"/>
          <w:b/>
          <w:sz w:val="32"/>
          <w:szCs w:val="32"/>
          <w:lang w:val="zh-CN"/>
        </w:rPr>
        <w:t>研讨确定标准主体内容</w:t>
      </w:r>
    </w:p>
    <w:p w14:paraId="1AE78545">
      <w:pPr>
        <w:pStyle w:val="7"/>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lang w:val="zh-CN"/>
        </w:rPr>
        <w:t>标准编制工作组在对收集的资料进行整理研究后，召开了标准编制会议，对标准的整体框架进行了讨论研究，并对标准的关键性问题进行了初步探讨。经过研究，标准的主体内容包括南宁老友粉原料竹笋的术语和定义、竹种选择、竹笋要求、检验方法、检验规则、标志、标识、包装和运输等要求。</w:t>
      </w:r>
    </w:p>
    <w:p w14:paraId="3EF05720">
      <w:pPr>
        <w:numPr>
          <w:ilvl w:val="0"/>
          <w:numId w:val="3"/>
        </w:numPr>
        <w:spacing w:line="520" w:lineRule="exact"/>
        <w:ind w:left="600"/>
        <w:rPr>
          <w:rFonts w:hint="eastAsia" w:ascii="楷体" w:hAnsi="楷体" w:eastAsia="楷体"/>
          <w:b/>
          <w:sz w:val="32"/>
          <w:szCs w:val="32"/>
          <w:lang w:val="zh-CN"/>
        </w:rPr>
      </w:pPr>
      <w:r>
        <w:rPr>
          <w:rFonts w:hint="eastAsia" w:ascii="楷体" w:hAnsi="楷体" w:eastAsia="楷体"/>
          <w:b/>
          <w:sz w:val="32"/>
          <w:szCs w:val="32"/>
          <w:lang w:val="zh-CN"/>
        </w:rPr>
        <w:t>调研、形成文本草案、征求意见稿</w:t>
      </w:r>
    </w:p>
    <w:p w14:paraId="254B33CE">
      <w:pPr>
        <w:spacing w:line="520" w:lineRule="exact"/>
        <w:ind w:firstLine="640" w:firstLineChars="200"/>
        <w:rPr>
          <w:rFonts w:ascii="仿宋_GB2312" w:eastAsia="仿宋_GB2312"/>
          <w:color w:val="000000"/>
          <w:sz w:val="32"/>
          <w:szCs w:val="32"/>
          <w:lang w:val="zh-CN"/>
        </w:rPr>
      </w:pPr>
      <w:r>
        <w:rPr>
          <w:rFonts w:hint="eastAsia" w:eastAsia="仿宋_GB2312" w:cs="Times New Roman"/>
          <w:sz w:val="32"/>
          <w:szCs w:val="32"/>
          <w:lang w:val="zh-CN"/>
        </w:rPr>
        <w:t>2024年9</w:t>
      </w:r>
      <w:r>
        <w:rPr>
          <w:rFonts w:hint="eastAsia" w:eastAsia="仿宋_GB2312" w:cs="Times New Roman"/>
          <w:sz w:val="32"/>
          <w:szCs w:val="32"/>
        </w:rPr>
        <w:t>月</w:t>
      </w:r>
      <w:r>
        <w:rPr>
          <w:rFonts w:hint="eastAsia" w:eastAsia="仿宋_GB2312" w:cs="Times New Roman"/>
          <w:sz w:val="32"/>
          <w:szCs w:val="32"/>
          <w:lang w:val="zh-CN"/>
        </w:rPr>
        <w:t>，标准编制工作组进行了广泛实地调研工作，深入</w:t>
      </w:r>
      <w:r>
        <w:rPr>
          <w:rFonts w:hint="eastAsia" w:eastAsia="仿宋_GB2312"/>
          <w:sz w:val="32"/>
          <w:szCs w:val="32"/>
        </w:rPr>
        <w:t>南宁市老友粉协会、广西复记食品科技有限公司、</w:t>
      </w:r>
      <w:r>
        <w:rPr>
          <w:rFonts w:ascii="仿宋_GB2312" w:eastAsia="仿宋_GB2312"/>
          <w:color w:val="000000"/>
          <w:sz w:val="32"/>
          <w:szCs w:val="32"/>
        </w:rPr>
        <w:t>宾阳武陵龙城</w:t>
      </w:r>
      <w:r>
        <w:rPr>
          <w:rFonts w:hint="eastAsia" w:ascii="仿宋_GB2312" w:eastAsia="仿宋_GB2312"/>
          <w:color w:val="000000"/>
          <w:sz w:val="32"/>
          <w:szCs w:val="32"/>
        </w:rPr>
        <w:t>种植家庭农场</w:t>
      </w:r>
      <w:r>
        <w:rPr>
          <w:rFonts w:hint="eastAsia" w:eastAsia="仿宋_GB2312" w:cs="Times New Roman"/>
          <w:sz w:val="32"/>
          <w:szCs w:val="32"/>
          <w:lang w:val="zh-CN"/>
        </w:rPr>
        <w:t>、</w:t>
      </w:r>
      <w:r>
        <w:rPr>
          <w:rFonts w:hint="eastAsia" w:ascii="仿宋_GB2312" w:eastAsia="仿宋_GB2312"/>
          <w:color w:val="000000"/>
          <w:sz w:val="32"/>
          <w:szCs w:val="32"/>
        </w:rPr>
        <w:t>广西</w:t>
      </w:r>
      <w:r>
        <w:rPr>
          <w:rFonts w:ascii="仿宋_GB2312" w:eastAsia="仿宋_GB2312"/>
          <w:color w:val="000000"/>
          <w:sz w:val="32"/>
          <w:szCs w:val="32"/>
        </w:rPr>
        <w:t>穗良</w:t>
      </w:r>
      <w:r>
        <w:rPr>
          <w:rFonts w:hint="eastAsia" w:ascii="仿宋_GB2312" w:eastAsia="仿宋_GB2312"/>
          <w:color w:val="000000"/>
          <w:sz w:val="32"/>
          <w:szCs w:val="32"/>
        </w:rPr>
        <w:t>甜竹科技有限</w:t>
      </w:r>
      <w:r>
        <w:rPr>
          <w:rFonts w:ascii="仿宋_GB2312" w:eastAsia="仿宋_GB2312"/>
          <w:color w:val="000000"/>
          <w:sz w:val="32"/>
          <w:szCs w:val="32"/>
        </w:rPr>
        <w:t>公司</w:t>
      </w:r>
      <w:r>
        <w:rPr>
          <w:rFonts w:hint="eastAsia" w:eastAsia="仿宋_GB2312" w:cs="Times New Roman"/>
          <w:sz w:val="32"/>
          <w:szCs w:val="32"/>
          <w:lang w:val="zh-CN"/>
        </w:rPr>
        <w:t>、</w:t>
      </w:r>
      <w:r>
        <w:rPr>
          <w:rFonts w:hint="eastAsia" w:ascii="仿宋_GB2312" w:eastAsia="仿宋_GB2312"/>
          <w:color w:val="000000"/>
          <w:sz w:val="32"/>
          <w:szCs w:val="32"/>
        </w:rPr>
        <w:t>广西南宁嘉柚美生态农业有限公司、横州市镇龙林场、横州市威和食品有限公司和</w:t>
      </w:r>
      <w:r>
        <w:rPr>
          <w:rFonts w:ascii="仿宋_GB2312" w:eastAsia="仿宋_GB2312"/>
          <w:color w:val="000000"/>
          <w:sz w:val="32"/>
          <w:szCs w:val="32"/>
        </w:rPr>
        <w:t>南宁市武鸣区仙笋农业专业合作社</w:t>
      </w:r>
      <w:r>
        <w:rPr>
          <w:rFonts w:hint="eastAsia" w:ascii="仿宋_GB2312" w:eastAsia="仿宋_GB2312"/>
          <w:color w:val="000000"/>
          <w:sz w:val="32"/>
          <w:szCs w:val="32"/>
        </w:rPr>
        <w:t>等单位</w:t>
      </w:r>
      <w:r>
        <w:rPr>
          <w:rFonts w:hint="eastAsia" w:eastAsia="仿宋_GB2312" w:cs="Times New Roman"/>
          <w:sz w:val="32"/>
          <w:szCs w:val="32"/>
          <w:lang w:val="zh-CN"/>
        </w:rPr>
        <w:t>，对南宁老友粉原料竹笋的品种选择、种植范围，竹笋采收标准及分级，采收后处理、包装和运输等方面的技术要求进行调研。</w:t>
      </w:r>
      <w:r>
        <w:rPr>
          <w:rFonts w:hint="eastAsia" w:ascii="仿宋_GB2312" w:eastAsia="仿宋_GB2312"/>
          <w:color w:val="000000"/>
          <w:sz w:val="32"/>
          <w:szCs w:val="32"/>
          <w:lang w:val="zh-CN"/>
        </w:rPr>
        <w:t>同时，查阅了大量的国内外文献资料，对</w:t>
      </w:r>
      <w:r>
        <w:rPr>
          <w:rFonts w:hint="eastAsia" w:eastAsia="仿宋_GB2312" w:cs="Times New Roman"/>
          <w:sz w:val="32"/>
          <w:szCs w:val="32"/>
          <w:lang w:val="zh-CN"/>
        </w:rPr>
        <w:t>南宁老友粉原料竹笋技术要求</w:t>
      </w:r>
      <w:r>
        <w:rPr>
          <w:rFonts w:hint="eastAsia" w:ascii="仿宋_GB2312" w:eastAsia="仿宋_GB2312"/>
          <w:color w:val="000000"/>
          <w:sz w:val="32"/>
          <w:szCs w:val="32"/>
          <w:lang w:val="zh-CN"/>
        </w:rPr>
        <w:t>进行系统总结。并</w:t>
      </w:r>
      <w:r>
        <w:rPr>
          <w:rFonts w:hint="eastAsia" w:eastAsia="仿宋_GB2312" w:cs="Times New Roman"/>
          <w:sz w:val="32"/>
          <w:szCs w:val="32"/>
          <w:lang w:val="zh-CN"/>
        </w:rPr>
        <w:t>召集相关人员开展标准研讨会，对主要内容进行了讨论后</w:t>
      </w:r>
      <w:r>
        <w:rPr>
          <w:rFonts w:hint="eastAsia" w:ascii="仿宋_GB2312" w:eastAsia="仿宋_GB2312"/>
          <w:color w:val="000000"/>
          <w:sz w:val="32"/>
          <w:szCs w:val="32"/>
          <w:lang w:val="zh-CN"/>
        </w:rPr>
        <w:t>，形成了标准的基本构架，对项目的工作进行了部署和安排。</w:t>
      </w:r>
    </w:p>
    <w:p w14:paraId="510F1CC2">
      <w:pPr>
        <w:pStyle w:val="7"/>
        <w:widowControl/>
        <w:spacing w:before="0" w:beforeAutospacing="0" w:after="0" w:afterAutospacing="0" w:line="520" w:lineRule="exact"/>
        <w:ind w:firstLine="640" w:firstLineChars="200"/>
        <w:jc w:val="both"/>
        <w:rPr>
          <w:rFonts w:hint="eastAsia" w:eastAsia="仿宋_GB2312" w:cs="Times New Roman"/>
          <w:sz w:val="32"/>
          <w:szCs w:val="32"/>
          <w:lang w:val="zh-CN"/>
        </w:rPr>
      </w:pPr>
      <w:r>
        <w:rPr>
          <w:rFonts w:hint="eastAsia" w:eastAsia="仿宋_GB2312" w:cs="Times New Roman"/>
          <w:sz w:val="32"/>
          <w:szCs w:val="32"/>
        </w:rPr>
        <w:t>2024年10月，</w:t>
      </w:r>
      <w:r>
        <w:rPr>
          <w:rFonts w:hint="eastAsia" w:eastAsia="仿宋_GB2312" w:cs="Times New Roman"/>
          <w:sz w:val="32"/>
          <w:szCs w:val="32"/>
          <w:lang w:val="zh-CN"/>
        </w:rPr>
        <w:t xml:space="preserve">标准编制工作组继续深入南宁市邕宁区、马山县和上林县的竹笋产地开展调研。并在前期工作的基础之上，通过理清逻辑脉络，整合已有的参考资料中有关南宁老友粉原料竹笋的内容，并结合南宁老友粉原料竹笋技术实际要求及前期研究的基础上，按照简化、统一等原则编制完成团体标准《南宁老友粉原料 </w:t>
      </w:r>
      <w:r>
        <w:rPr>
          <w:rFonts w:hint="eastAsia" w:eastAsia="仿宋_GB2312" w:cs="Times New Roman"/>
          <w:sz w:val="32"/>
          <w:szCs w:val="32"/>
          <w:lang w:val="en-US" w:eastAsia="zh-CN"/>
        </w:rPr>
        <w:t xml:space="preserve"> </w:t>
      </w:r>
      <w:r>
        <w:rPr>
          <w:rFonts w:hint="eastAsia" w:eastAsia="仿宋_GB2312" w:cs="Times New Roman"/>
          <w:sz w:val="32"/>
          <w:szCs w:val="32"/>
          <w:lang w:val="zh-CN"/>
        </w:rPr>
        <w:t>竹笋》（草案）。</w:t>
      </w:r>
    </w:p>
    <w:p w14:paraId="0A39F3F3">
      <w:pPr>
        <w:pStyle w:val="7"/>
        <w:widowControl/>
        <w:spacing w:before="0" w:beforeAutospacing="0" w:after="0" w:afterAutospacing="0" w:line="520" w:lineRule="exact"/>
        <w:ind w:firstLine="640" w:firstLineChars="200"/>
        <w:jc w:val="both"/>
        <w:rPr>
          <w:rFonts w:hint="eastAsia" w:eastAsia="仿宋_GB2312" w:cs="Times New Roman"/>
          <w:sz w:val="32"/>
          <w:szCs w:val="32"/>
          <w:lang w:val="zh-CN"/>
        </w:rPr>
      </w:pP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49"/>
        <w:gridCol w:w="2949"/>
        <w:gridCol w:w="2950"/>
      </w:tblGrid>
      <w:tr w14:paraId="0B944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4" w:hRule="atLeast"/>
        </w:trPr>
        <w:tc>
          <w:tcPr>
            <w:tcW w:w="2949" w:type="dxa"/>
          </w:tcPr>
          <w:p w14:paraId="1FD9E16E">
            <w:pPr>
              <w:pStyle w:val="7"/>
              <w:keepNext w:val="0"/>
              <w:keepLines w:val="0"/>
              <w:widowControl/>
              <w:suppressLineNumbers w:val="0"/>
              <w:spacing w:before="0" w:beforeAutospacing="0" w:after="0" w:afterAutospacing="0" w:line="520" w:lineRule="exact"/>
              <w:ind w:left="0" w:right="0"/>
              <w:jc w:val="center"/>
              <w:rPr>
                <w:rFonts w:hint="default" w:eastAsia="仿宋_GB2312" w:cs="Times New Roman"/>
                <w:sz w:val="32"/>
                <w:szCs w:val="32"/>
                <w:vertAlign w:val="baseline"/>
                <w:lang w:val="en-US"/>
              </w:rPr>
            </w:pPr>
            <w:r>
              <w:rPr>
                <w:rFonts w:hint="eastAsia" w:eastAsia="仿宋_GB2312" w:cs="Times New Roman"/>
                <w:sz w:val="32"/>
                <w:szCs w:val="32"/>
                <w:vertAlign w:val="baseline"/>
                <w:lang w:val="zh-CN"/>
              </w:rPr>
              <w:drawing>
                <wp:anchor distT="0" distB="0" distL="114300" distR="114300" simplePos="0" relativeHeight="251659264" behindDoc="0" locked="0" layoutInCell="1" allowOverlap="1">
                  <wp:simplePos x="0" y="0"/>
                  <wp:positionH relativeFrom="column">
                    <wp:posOffset>132080</wp:posOffset>
                  </wp:positionH>
                  <wp:positionV relativeFrom="paragraph">
                    <wp:posOffset>62865</wp:posOffset>
                  </wp:positionV>
                  <wp:extent cx="1453515" cy="1089660"/>
                  <wp:effectExtent l="0" t="0" r="13335" b="15240"/>
                  <wp:wrapTopAndBottom/>
                  <wp:docPr id="1" name="图片 1" descr="组织标准编制研讨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组织标准编制研讨会"/>
                          <pic:cNvPicPr>
                            <a:picLocks noChangeAspect="1"/>
                          </pic:cNvPicPr>
                        </pic:nvPicPr>
                        <pic:blipFill>
                          <a:blip r:embed="rId7"/>
                          <a:stretch>
                            <a:fillRect/>
                          </a:stretch>
                        </pic:blipFill>
                        <pic:spPr>
                          <a:xfrm>
                            <a:off x="0" y="0"/>
                            <a:ext cx="1453515" cy="1089660"/>
                          </a:xfrm>
                          <a:prstGeom prst="rect">
                            <a:avLst/>
                          </a:prstGeom>
                        </pic:spPr>
                      </pic:pic>
                    </a:graphicData>
                  </a:graphic>
                </wp:anchor>
              </w:drawing>
            </w:r>
            <w:r>
              <w:rPr>
                <w:rFonts w:hint="eastAsia" w:eastAsia="仿宋_GB2312" w:cs="Times New Roman"/>
                <w:sz w:val="32"/>
                <w:szCs w:val="32"/>
                <w:vertAlign w:val="baseline"/>
                <w:lang w:val="en-US" w:eastAsia="zh-CN"/>
              </w:rPr>
              <w:t>编制小组研讨会</w:t>
            </w:r>
          </w:p>
        </w:tc>
        <w:tc>
          <w:tcPr>
            <w:tcW w:w="2949" w:type="dxa"/>
          </w:tcPr>
          <w:p w14:paraId="34524A7C">
            <w:pPr>
              <w:pStyle w:val="7"/>
              <w:keepNext w:val="0"/>
              <w:keepLines w:val="0"/>
              <w:widowControl/>
              <w:suppressLineNumbers w:val="0"/>
              <w:spacing w:before="0" w:beforeAutospacing="0" w:after="0" w:afterAutospacing="0" w:line="520" w:lineRule="exact"/>
              <w:ind w:left="0" w:right="0"/>
              <w:jc w:val="center"/>
              <w:rPr>
                <w:rFonts w:hint="eastAsia" w:eastAsia="仿宋_GB2312" w:cs="Times New Roman"/>
                <w:sz w:val="32"/>
                <w:szCs w:val="32"/>
                <w:vertAlign w:val="baseline"/>
                <w:lang w:val="en-US" w:eastAsia="zh-CN"/>
              </w:rPr>
            </w:pPr>
            <w:r>
              <w:rPr>
                <w:rFonts w:hint="eastAsia" w:eastAsia="仿宋_GB2312" w:cs="Times New Roman"/>
                <w:sz w:val="32"/>
                <w:szCs w:val="32"/>
                <w:vertAlign w:val="baseline"/>
                <w:lang w:val="en-US" w:eastAsia="zh-CN"/>
              </w:rPr>
              <w:drawing>
                <wp:anchor distT="0" distB="0" distL="114300" distR="114300" simplePos="0" relativeHeight="251662336" behindDoc="0" locked="0" layoutInCell="1" allowOverlap="1">
                  <wp:simplePos x="0" y="0"/>
                  <wp:positionH relativeFrom="column">
                    <wp:posOffset>10160</wp:posOffset>
                  </wp:positionH>
                  <wp:positionV relativeFrom="paragraph">
                    <wp:posOffset>-1012190</wp:posOffset>
                  </wp:positionV>
                  <wp:extent cx="1697355" cy="1124585"/>
                  <wp:effectExtent l="0" t="0" r="17145" b="18415"/>
                  <wp:wrapTopAndBottom/>
                  <wp:docPr id="5" name="图片 5" descr="宾阳调研与采收标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宾阳调研与采收标准"/>
                          <pic:cNvPicPr>
                            <a:picLocks noChangeAspect="1"/>
                          </pic:cNvPicPr>
                        </pic:nvPicPr>
                        <pic:blipFill>
                          <a:blip r:embed="rId8"/>
                          <a:stretch>
                            <a:fillRect/>
                          </a:stretch>
                        </pic:blipFill>
                        <pic:spPr>
                          <a:xfrm>
                            <a:off x="0" y="0"/>
                            <a:ext cx="1697355" cy="1124585"/>
                          </a:xfrm>
                          <a:prstGeom prst="rect">
                            <a:avLst/>
                          </a:prstGeom>
                        </pic:spPr>
                      </pic:pic>
                    </a:graphicData>
                  </a:graphic>
                </wp:anchor>
              </w:drawing>
            </w:r>
            <w:r>
              <w:rPr>
                <w:rFonts w:hint="eastAsia" w:eastAsia="仿宋_GB2312" w:cs="Times New Roman"/>
                <w:sz w:val="32"/>
                <w:szCs w:val="32"/>
                <w:vertAlign w:val="baseline"/>
                <w:lang w:val="en-US" w:eastAsia="zh-CN"/>
              </w:rPr>
              <w:t>宾阳调研</w:t>
            </w:r>
          </w:p>
        </w:tc>
        <w:tc>
          <w:tcPr>
            <w:tcW w:w="2950" w:type="dxa"/>
          </w:tcPr>
          <w:p w14:paraId="047165A9">
            <w:pPr>
              <w:pStyle w:val="7"/>
              <w:keepNext w:val="0"/>
              <w:keepLines w:val="0"/>
              <w:widowControl/>
              <w:suppressLineNumbers w:val="0"/>
              <w:spacing w:before="0" w:beforeAutospacing="0" w:after="0" w:afterAutospacing="0" w:line="520" w:lineRule="exact"/>
              <w:ind w:left="0" w:right="0"/>
              <w:jc w:val="center"/>
              <w:rPr>
                <w:rFonts w:hint="default" w:eastAsia="仿宋_GB2312" w:cs="Times New Roman"/>
                <w:sz w:val="32"/>
                <w:szCs w:val="32"/>
                <w:vertAlign w:val="baseline"/>
                <w:lang w:val="en-US"/>
              </w:rPr>
            </w:pPr>
            <w:r>
              <w:rPr>
                <w:rFonts w:hint="eastAsia" w:eastAsia="仿宋_GB2312" w:cs="Times New Roman"/>
                <w:sz w:val="32"/>
                <w:szCs w:val="32"/>
                <w:vertAlign w:val="baseline"/>
                <w:lang w:val="zh-CN"/>
              </w:rPr>
              <w:drawing>
                <wp:anchor distT="0" distB="0" distL="114300" distR="114300" simplePos="0" relativeHeight="251660288" behindDoc="0" locked="0" layoutInCell="1" allowOverlap="1">
                  <wp:simplePos x="0" y="0"/>
                  <wp:positionH relativeFrom="column">
                    <wp:posOffset>0</wp:posOffset>
                  </wp:positionH>
                  <wp:positionV relativeFrom="paragraph">
                    <wp:posOffset>-1012190</wp:posOffset>
                  </wp:positionV>
                  <wp:extent cx="1518285" cy="1138555"/>
                  <wp:effectExtent l="0" t="0" r="5715" b="4445"/>
                  <wp:wrapTopAndBottom/>
                  <wp:docPr id="3" name="图片 3" descr="马山周鹿镇麻竹种植基地调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马山周鹿镇麻竹种植基地调研"/>
                          <pic:cNvPicPr>
                            <a:picLocks noChangeAspect="1"/>
                          </pic:cNvPicPr>
                        </pic:nvPicPr>
                        <pic:blipFill>
                          <a:blip r:embed="rId9"/>
                          <a:stretch>
                            <a:fillRect/>
                          </a:stretch>
                        </pic:blipFill>
                        <pic:spPr>
                          <a:xfrm>
                            <a:off x="0" y="0"/>
                            <a:ext cx="1518285" cy="1138555"/>
                          </a:xfrm>
                          <a:prstGeom prst="rect">
                            <a:avLst/>
                          </a:prstGeom>
                        </pic:spPr>
                      </pic:pic>
                    </a:graphicData>
                  </a:graphic>
                </wp:anchor>
              </w:drawing>
            </w:r>
            <w:r>
              <w:rPr>
                <w:rFonts w:hint="eastAsia" w:eastAsia="仿宋_GB2312" w:cs="Times New Roman"/>
                <w:sz w:val="32"/>
                <w:szCs w:val="32"/>
                <w:vertAlign w:val="baseline"/>
                <w:lang w:val="en-US" w:eastAsia="zh-CN"/>
              </w:rPr>
              <w:t>马山调研</w:t>
            </w:r>
          </w:p>
        </w:tc>
      </w:tr>
      <w:tr w14:paraId="50DB8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9" w:type="dxa"/>
          </w:tcPr>
          <w:p w14:paraId="1B520B11">
            <w:pPr>
              <w:pStyle w:val="7"/>
              <w:keepNext w:val="0"/>
              <w:keepLines w:val="0"/>
              <w:widowControl/>
              <w:suppressLineNumbers w:val="0"/>
              <w:spacing w:before="0" w:beforeAutospacing="0" w:after="0" w:afterAutospacing="0" w:line="520" w:lineRule="exact"/>
              <w:ind w:left="0" w:right="0"/>
              <w:jc w:val="center"/>
              <w:rPr>
                <w:rFonts w:hint="default" w:eastAsia="仿宋_GB2312" w:cs="Times New Roman"/>
                <w:sz w:val="32"/>
                <w:szCs w:val="32"/>
                <w:vertAlign w:val="baseline"/>
                <w:lang w:val="en-US"/>
              </w:rPr>
            </w:pPr>
            <w:r>
              <w:rPr>
                <w:rFonts w:hint="eastAsia" w:eastAsia="仿宋_GB2312" w:cs="Times New Roman"/>
                <w:sz w:val="32"/>
                <w:szCs w:val="32"/>
                <w:vertAlign w:val="baseline"/>
                <w:lang w:val="zh-CN"/>
              </w:rPr>
              <w:drawing>
                <wp:anchor distT="0" distB="0" distL="114300" distR="114300" simplePos="0" relativeHeight="251661312" behindDoc="0" locked="0" layoutInCell="1" allowOverlap="1">
                  <wp:simplePos x="0" y="0"/>
                  <wp:positionH relativeFrom="column">
                    <wp:posOffset>163195</wp:posOffset>
                  </wp:positionH>
                  <wp:positionV relativeFrom="paragraph">
                    <wp:posOffset>55880</wp:posOffset>
                  </wp:positionV>
                  <wp:extent cx="1517650" cy="1137920"/>
                  <wp:effectExtent l="0" t="0" r="6350" b="5080"/>
                  <wp:wrapTopAndBottom/>
                  <wp:docPr id="2" name="图片 2" descr="横县调研竹笋栽培采收标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横县调研竹笋栽培采收标准"/>
                          <pic:cNvPicPr>
                            <a:picLocks noChangeAspect="1"/>
                          </pic:cNvPicPr>
                        </pic:nvPicPr>
                        <pic:blipFill>
                          <a:blip r:embed="rId10"/>
                          <a:stretch>
                            <a:fillRect/>
                          </a:stretch>
                        </pic:blipFill>
                        <pic:spPr>
                          <a:xfrm>
                            <a:off x="0" y="0"/>
                            <a:ext cx="1517650" cy="1137920"/>
                          </a:xfrm>
                          <a:prstGeom prst="rect">
                            <a:avLst/>
                          </a:prstGeom>
                        </pic:spPr>
                      </pic:pic>
                    </a:graphicData>
                  </a:graphic>
                </wp:anchor>
              </w:drawing>
            </w:r>
            <w:r>
              <w:rPr>
                <w:rFonts w:hint="eastAsia" w:eastAsia="仿宋_GB2312" w:cs="Times New Roman"/>
                <w:sz w:val="32"/>
                <w:szCs w:val="32"/>
                <w:vertAlign w:val="baseline"/>
                <w:lang w:val="en-US" w:eastAsia="zh-CN"/>
              </w:rPr>
              <w:t>横州调研</w:t>
            </w:r>
          </w:p>
        </w:tc>
        <w:tc>
          <w:tcPr>
            <w:tcW w:w="2949" w:type="dxa"/>
          </w:tcPr>
          <w:p w14:paraId="50F8E022">
            <w:pPr>
              <w:pStyle w:val="7"/>
              <w:keepNext w:val="0"/>
              <w:keepLines w:val="0"/>
              <w:widowControl/>
              <w:suppressLineNumbers w:val="0"/>
              <w:spacing w:before="0" w:beforeAutospacing="0" w:after="0" w:afterAutospacing="0" w:line="520" w:lineRule="exact"/>
              <w:ind w:left="0" w:right="0"/>
              <w:jc w:val="center"/>
              <w:rPr>
                <w:rFonts w:hint="default" w:eastAsia="仿宋_GB2312" w:cs="Times New Roman"/>
                <w:sz w:val="32"/>
                <w:szCs w:val="32"/>
                <w:vertAlign w:val="baseline"/>
                <w:lang w:val="en-US"/>
              </w:rPr>
            </w:pPr>
            <w:r>
              <w:rPr>
                <w:rFonts w:hint="eastAsia" w:eastAsia="仿宋_GB2312" w:cs="Times New Roman"/>
                <w:sz w:val="32"/>
                <w:szCs w:val="32"/>
                <w:vertAlign w:val="baseline"/>
                <w:lang w:val="zh-CN"/>
              </w:rPr>
              <w:drawing>
                <wp:anchor distT="0" distB="0" distL="114300" distR="114300" simplePos="0" relativeHeight="251663360" behindDoc="0" locked="0" layoutInCell="1" allowOverlap="1">
                  <wp:simplePos x="0" y="0"/>
                  <wp:positionH relativeFrom="column">
                    <wp:posOffset>347980</wp:posOffset>
                  </wp:positionH>
                  <wp:positionV relativeFrom="paragraph">
                    <wp:posOffset>57150</wp:posOffset>
                  </wp:positionV>
                  <wp:extent cx="1172845" cy="1140460"/>
                  <wp:effectExtent l="0" t="0" r="8255" b="2540"/>
                  <wp:wrapTopAndBottom/>
                  <wp:docPr id="6" name="图片 6" descr="横县调研麻竹笋加工酸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横县调研麻竹笋加工酸笋"/>
                          <pic:cNvPicPr>
                            <a:picLocks noChangeAspect="1"/>
                          </pic:cNvPicPr>
                        </pic:nvPicPr>
                        <pic:blipFill>
                          <a:blip r:embed="rId11"/>
                          <a:stretch>
                            <a:fillRect/>
                          </a:stretch>
                        </pic:blipFill>
                        <pic:spPr>
                          <a:xfrm>
                            <a:off x="0" y="0"/>
                            <a:ext cx="1172845" cy="1140460"/>
                          </a:xfrm>
                          <a:prstGeom prst="rect">
                            <a:avLst/>
                          </a:prstGeom>
                        </pic:spPr>
                      </pic:pic>
                    </a:graphicData>
                  </a:graphic>
                </wp:anchor>
              </w:drawing>
            </w:r>
            <w:r>
              <w:rPr>
                <w:rFonts w:hint="eastAsia" w:eastAsia="仿宋_GB2312" w:cs="Times New Roman"/>
                <w:sz w:val="32"/>
                <w:szCs w:val="32"/>
                <w:vertAlign w:val="baseline"/>
                <w:lang w:val="en-US" w:eastAsia="zh-CN"/>
              </w:rPr>
              <w:t>横州麻竹加工</w:t>
            </w:r>
          </w:p>
        </w:tc>
        <w:tc>
          <w:tcPr>
            <w:tcW w:w="2950" w:type="dxa"/>
          </w:tcPr>
          <w:p w14:paraId="375EB332">
            <w:pPr>
              <w:pStyle w:val="7"/>
              <w:keepNext w:val="0"/>
              <w:keepLines w:val="0"/>
              <w:widowControl/>
              <w:suppressLineNumbers w:val="0"/>
              <w:spacing w:before="0" w:beforeAutospacing="0" w:after="0" w:afterAutospacing="0" w:line="520" w:lineRule="exact"/>
              <w:ind w:left="0" w:right="0"/>
              <w:jc w:val="center"/>
              <w:rPr>
                <w:rFonts w:hint="default" w:eastAsia="仿宋_GB2312" w:cs="Times New Roman"/>
                <w:sz w:val="32"/>
                <w:szCs w:val="32"/>
                <w:vertAlign w:val="baseline"/>
                <w:lang w:val="en-US"/>
              </w:rPr>
            </w:pPr>
            <w:r>
              <w:rPr>
                <w:rFonts w:hint="eastAsia" w:eastAsia="仿宋_GB2312" w:cs="Times New Roman"/>
                <w:sz w:val="32"/>
                <w:szCs w:val="32"/>
                <w:vertAlign w:val="baseline"/>
                <w:lang w:val="zh-CN"/>
              </w:rPr>
              <w:drawing>
                <wp:anchor distT="0" distB="0" distL="114300" distR="114300" simplePos="0" relativeHeight="251664384" behindDoc="0" locked="0" layoutInCell="1" allowOverlap="1">
                  <wp:simplePos x="0" y="0"/>
                  <wp:positionH relativeFrom="column">
                    <wp:posOffset>0</wp:posOffset>
                  </wp:positionH>
                  <wp:positionV relativeFrom="paragraph">
                    <wp:posOffset>-1012190</wp:posOffset>
                  </wp:positionV>
                  <wp:extent cx="1697355" cy="1188085"/>
                  <wp:effectExtent l="0" t="0" r="17145" b="12065"/>
                  <wp:wrapTopAndBottom/>
                  <wp:docPr id="7" name="图片 7" descr="西乡塘区调研竹笋采收标准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西乡塘区调研竹笋采收标准 (2)"/>
                          <pic:cNvPicPr>
                            <a:picLocks noChangeAspect="1"/>
                          </pic:cNvPicPr>
                        </pic:nvPicPr>
                        <pic:blipFill>
                          <a:blip r:embed="rId12"/>
                          <a:stretch>
                            <a:fillRect/>
                          </a:stretch>
                        </pic:blipFill>
                        <pic:spPr>
                          <a:xfrm>
                            <a:off x="0" y="0"/>
                            <a:ext cx="1697355" cy="1188085"/>
                          </a:xfrm>
                          <a:prstGeom prst="rect">
                            <a:avLst/>
                          </a:prstGeom>
                        </pic:spPr>
                      </pic:pic>
                    </a:graphicData>
                  </a:graphic>
                </wp:anchor>
              </w:drawing>
            </w:r>
            <w:r>
              <w:rPr>
                <w:rFonts w:hint="eastAsia" w:eastAsia="仿宋_GB2312" w:cs="Times New Roman"/>
                <w:sz w:val="32"/>
                <w:szCs w:val="32"/>
                <w:vertAlign w:val="baseline"/>
                <w:lang w:val="en-US" w:eastAsia="zh-CN"/>
              </w:rPr>
              <w:t>西乡塘调研</w:t>
            </w:r>
          </w:p>
        </w:tc>
      </w:tr>
      <w:tr w14:paraId="7FA40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9" w:type="dxa"/>
          </w:tcPr>
          <w:p w14:paraId="6472229F">
            <w:pPr>
              <w:pStyle w:val="7"/>
              <w:keepNext w:val="0"/>
              <w:keepLines w:val="0"/>
              <w:widowControl/>
              <w:suppressLineNumbers w:val="0"/>
              <w:spacing w:before="0" w:beforeAutospacing="0" w:after="0" w:afterAutospacing="0" w:line="520" w:lineRule="exact"/>
              <w:ind w:left="0" w:right="0"/>
              <w:jc w:val="center"/>
              <w:rPr>
                <w:rFonts w:hint="default" w:eastAsia="仿宋_GB2312" w:cs="Times New Roman"/>
                <w:sz w:val="32"/>
                <w:szCs w:val="32"/>
                <w:vertAlign w:val="baseline"/>
                <w:lang w:val="en-US"/>
              </w:rPr>
            </w:pPr>
            <w:r>
              <w:rPr>
                <w:rFonts w:hint="eastAsia" w:eastAsia="仿宋_GB2312" w:cs="Times New Roman"/>
                <w:sz w:val="32"/>
                <w:szCs w:val="32"/>
                <w:vertAlign w:val="baseline"/>
                <w:lang w:val="en-US" w:eastAsia="zh-CN"/>
              </w:rPr>
              <w:drawing>
                <wp:anchor distT="0" distB="0" distL="114300" distR="114300" simplePos="0" relativeHeight="251666432" behindDoc="0" locked="0" layoutInCell="1" allowOverlap="1">
                  <wp:simplePos x="0" y="0"/>
                  <wp:positionH relativeFrom="column">
                    <wp:posOffset>10160</wp:posOffset>
                  </wp:positionH>
                  <wp:positionV relativeFrom="paragraph">
                    <wp:posOffset>-2021840</wp:posOffset>
                  </wp:positionV>
                  <wp:extent cx="1711960" cy="1297940"/>
                  <wp:effectExtent l="0" t="0" r="2540" b="16510"/>
                  <wp:wrapTopAndBottom/>
                  <wp:docPr id="9" name="图片 9" descr="邕宁区调研竹笋采收标准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邕宁区调研竹笋采收标准 (2)"/>
                          <pic:cNvPicPr>
                            <a:picLocks noChangeAspect="1"/>
                          </pic:cNvPicPr>
                        </pic:nvPicPr>
                        <pic:blipFill>
                          <a:blip r:embed="rId13"/>
                          <a:stretch>
                            <a:fillRect/>
                          </a:stretch>
                        </pic:blipFill>
                        <pic:spPr>
                          <a:xfrm>
                            <a:off x="0" y="0"/>
                            <a:ext cx="1711960" cy="1297940"/>
                          </a:xfrm>
                          <a:prstGeom prst="rect">
                            <a:avLst/>
                          </a:prstGeom>
                        </pic:spPr>
                      </pic:pic>
                    </a:graphicData>
                  </a:graphic>
                </wp:anchor>
              </w:drawing>
            </w:r>
            <w:r>
              <w:rPr>
                <w:rFonts w:hint="eastAsia" w:eastAsia="仿宋_GB2312" w:cs="Times New Roman"/>
                <w:sz w:val="32"/>
                <w:szCs w:val="32"/>
                <w:vertAlign w:val="baseline"/>
                <w:lang w:val="en-US" w:eastAsia="zh-CN"/>
              </w:rPr>
              <w:t>邕宁区调研笋采收</w:t>
            </w:r>
          </w:p>
        </w:tc>
        <w:tc>
          <w:tcPr>
            <w:tcW w:w="2949" w:type="dxa"/>
          </w:tcPr>
          <w:p w14:paraId="2D61A1C9">
            <w:pPr>
              <w:pStyle w:val="7"/>
              <w:keepNext w:val="0"/>
              <w:keepLines w:val="0"/>
              <w:widowControl/>
              <w:suppressLineNumbers w:val="0"/>
              <w:spacing w:before="0" w:beforeAutospacing="0" w:after="0" w:afterAutospacing="0" w:line="520" w:lineRule="exact"/>
              <w:ind w:left="0" w:right="0"/>
              <w:jc w:val="center"/>
              <w:rPr>
                <w:rFonts w:hint="default" w:eastAsia="仿宋_GB2312" w:cs="Times New Roman"/>
                <w:sz w:val="32"/>
                <w:szCs w:val="32"/>
                <w:vertAlign w:val="baseline"/>
                <w:lang w:val="en-US"/>
              </w:rPr>
            </w:pPr>
            <w:r>
              <w:rPr>
                <w:rFonts w:hint="eastAsia" w:eastAsia="仿宋_GB2312" w:cs="Times New Roman"/>
                <w:sz w:val="32"/>
                <w:szCs w:val="32"/>
                <w:vertAlign w:val="baseline"/>
                <w:lang w:val="en-US" w:eastAsia="zh-CN"/>
              </w:rPr>
              <w:t>邕宁区调研</w:t>
            </w:r>
            <w:r>
              <w:rPr>
                <w:rFonts w:hint="eastAsia" w:eastAsia="仿宋_GB2312" w:cs="Times New Roman"/>
                <w:sz w:val="32"/>
                <w:szCs w:val="32"/>
                <w:vertAlign w:val="baseline"/>
                <w:lang w:val="zh-CN"/>
              </w:rPr>
              <w:drawing>
                <wp:anchor distT="0" distB="0" distL="114300" distR="114300" simplePos="0" relativeHeight="251665408" behindDoc="0" locked="0" layoutInCell="1" allowOverlap="1">
                  <wp:simplePos x="0" y="0"/>
                  <wp:positionH relativeFrom="column">
                    <wp:posOffset>11430</wp:posOffset>
                  </wp:positionH>
                  <wp:positionV relativeFrom="paragraph">
                    <wp:posOffset>36195</wp:posOffset>
                  </wp:positionV>
                  <wp:extent cx="1697355" cy="1272540"/>
                  <wp:effectExtent l="0" t="0" r="17145" b="3810"/>
                  <wp:wrapTopAndBottom/>
                  <wp:docPr id="8" name="图片 8" descr="邕宁区调研麻竹笋加工酸笋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邕宁区调研麻竹笋加工酸笋 (2)"/>
                          <pic:cNvPicPr>
                            <a:picLocks noChangeAspect="1"/>
                          </pic:cNvPicPr>
                        </pic:nvPicPr>
                        <pic:blipFill>
                          <a:blip r:embed="rId14"/>
                          <a:stretch>
                            <a:fillRect/>
                          </a:stretch>
                        </pic:blipFill>
                        <pic:spPr>
                          <a:xfrm>
                            <a:off x="0" y="0"/>
                            <a:ext cx="1697355" cy="1272540"/>
                          </a:xfrm>
                          <a:prstGeom prst="rect">
                            <a:avLst/>
                          </a:prstGeom>
                        </pic:spPr>
                      </pic:pic>
                    </a:graphicData>
                  </a:graphic>
                </wp:anchor>
              </w:drawing>
            </w:r>
            <w:r>
              <w:rPr>
                <w:rFonts w:hint="eastAsia" w:eastAsia="仿宋_GB2312" w:cs="Times New Roman"/>
                <w:sz w:val="32"/>
                <w:szCs w:val="32"/>
                <w:vertAlign w:val="baseline"/>
                <w:lang w:val="en-US" w:eastAsia="zh-CN"/>
              </w:rPr>
              <w:t>笋加工</w:t>
            </w:r>
          </w:p>
        </w:tc>
        <w:tc>
          <w:tcPr>
            <w:tcW w:w="2950" w:type="dxa"/>
          </w:tcPr>
          <w:p w14:paraId="7DF4A8C3">
            <w:pPr>
              <w:pStyle w:val="7"/>
              <w:keepNext w:val="0"/>
              <w:keepLines w:val="0"/>
              <w:widowControl/>
              <w:suppressLineNumbers w:val="0"/>
              <w:spacing w:before="0" w:beforeAutospacing="0" w:after="0" w:afterAutospacing="0" w:line="520" w:lineRule="exact"/>
              <w:ind w:left="0" w:right="0"/>
              <w:jc w:val="center"/>
              <w:rPr>
                <w:rFonts w:hint="default" w:eastAsia="仿宋_GB2312" w:cs="Times New Roman"/>
                <w:sz w:val="32"/>
                <w:szCs w:val="32"/>
                <w:vertAlign w:val="baseline"/>
                <w:lang w:val="en-US"/>
              </w:rPr>
            </w:pPr>
            <w:r>
              <w:rPr>
                <w:rFonts w:hint="default" w:eastAsia="仿宋_GB2312" w:cs="Times New Roman"/>
                <w:sz w:val="32"/>
                <w:szCs w:val="32"/>
                <w:vertAlign w:val="baseline"/>
                <w:lang w:val="en-US" w:eastAsia="zh-CN"/>
              </w:rPr>
              <w:drawing>
                <wp:anchor distT="0" distB="0" distL="114300" distR="114300" simplePos="0" relativeHeight="251667456" behindDoc="0" locked="0" layoutInCell="1" allowOverlap="1">
                  <wp:simplePos x="0" y="0"/>
                  <wp:positionH relativeFrom="column">
                    <wp:posOffset>20320</wp:posOffset>
                  </wp:positionH>
                  <wp:positionV relativeFrom="paragraph">
                    <wp:posOffset>-1009650</wp:posOffset>
                  </wp:positionV>
                  <wp:extent cx="1689735" cy="1267460"/>
                  <wp:effectExtent l="0" t="0" r="5080" b="6350"/>
                  <wp:wrapTopAndBottom/>
                  <wp:docPr id="4" name="图片 4" descr="699099e8b01c8ce066529fdc6c1ae4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699099e8b01c8ce066529fdc6c1ae41a"/>
                          <pic:cNvPicPr>
                            <a:picLocks noChangeAspect="1"/>
                          </pic:cNvPicPr>
                        </pic:nvPicPr>
                        <pic:blipFill>
                          <a:blip r:embed="rId15"/>
                          <a:stretch>
                            <a:fillRect/>
                          </a:stretch>
                        </pic:blipFill>
                        <pic:spPr>
                          <a:xfrm>
                            <a:off x="0" y="0"/>
                            <a:ext cx="1689735" cy="1267460"/>
                          </a:xfrm>
                          <a:prstGeom prst="rect">
                            <a:avLst/>
                          </a:prstGeom>
                        </pic:spPr>
                      </pic:pic>
                    </a:graphicData>
                  </a:graphic>
                </wp:anchor>
              </w:drawing>
            </w:r>
            <w:r>
              <w:rPr>
                <w:rFonts w:hint="eastAsia" w:eastAsia="仿宋_GB2312" w:cs="Times New Roman"/>
                <w:sz w:val="32"/>
                <w:szCs w:val="32"/>
                <w:vertAlign w:val="baseline"/>
                <w:lang w:val="en-US" w:eastAsia="zh-CN"/>
              </w:rPr>
              <w:t>标准制定研讨会</w:t>
            </w:r>
          </w:p>
        </w:tc>
      </w:tr>
    </w:tbl>
    <w:p w14:paraId="0D83B080">
      <w:pPr>
        <w:pStyle w:val="7"/>
        <w:widowControl/>
        <w:spacing w:before="0" w:beforeAutospacing="0" w:after="0" w:afterAutospacing="0" w:line="520" w:lineRule="exact"/>
        <w:ind w:firstLine="640" w:firstLineChars="200"/>
        <w:jc w:val="both"/>
        <w:rPr>
          <w:rFonts w:hint="eastAsia" w:eastAsia="仿宋_GB2312" w:cs="Times New Roman"/>
          <w:sz w:val="32"/>
          <w:szCs w:val="32"/>
          <w:lang w:val="zh-CN"/>
        </w:rPr>
      </w:pPr>
    </w:p>
    <w:p w14:paraId="4BCF1DC9">
      <w:pPr>
        <w:pStyle w:val="7"/>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lang w:val="zh-CN"/>
        </w:rPr>
        <w:t>2024年11月</w:t>
      </w:r>
      <w:r>
        <w:rPr>
          <w:rFonts w:hint="eastAsia" w:eastAsia="仿宋_GB2312" w:cs="Times New Roman"/>
          <w:sz w:val="32"/>
          <w:szCs w:val="32"/>
          <w:lang w:val="en-US" w:eastAsia="zh-CN"/>
        </w:rPr>
        <w:t>~</w:t>
      </w:r>
      <w:r>
        <w:rPr>
          <w:rFonts w:hint="eastAsia" w:eastAsia="仿宋_GB2312" w:cs="Times New Roman"/>
          <w:sz w:val="32"/>
          <w:szCs w:val="32"/>
        </w:rPr>
        <w:t>2025年</w:t>
      </w:r>
      <w:r>
        <w:rPr>
          <w:rFonts w:hint="eastAsia" w:eastAsia="仿宋_GB2312" w:cs="Times New Roman"/>
          <w:sz w:val="32"/>
          <w:szCs w:val="32"/>
          <w:lang w:val="en-US" w:eastAsia="zh-CN"/>
        </w:rPr>
        <w:t>9</w:t>
      </w:r>
      <w:r>
        <w:rPr>
          <w:rFonts w:hint="eastAsia" w:eastAsia="仿宋_GB2312" w:cs="Times New Roman"/>
          <w:sz w:val="32"/>
          <w:szCs w:val="32"/>
        </w:rPr>
        <w:t>月</w:t>
      </w:r>
      <w:r>
        <w:rPr>
          <w:rFonts w:hint="eastAsia" w:eastAsia="仿宋_GB2312" w:cs="Times New Roman"/>
          <w:sz w:val="32"/>
          <w:szCs w:val="32"/>
          <w:lang w:val="zh-CN"/>
        </w:rPr>
        <w:t>，标准编制工作组以草案为基础，提炼核心技术细节，并征求</w:t>
      </w:r>
      <w:r>
        <w:rPr>
          <w:rFonts w:hint="eastAsia" w:eastAsia="仿宋_GB2312" w:cs="Times New Roman"/>
          <w:sz w:val="32"/>
          <w:szCs w:val="32"/>
        </w:rPr>
        <w:t>广西壮族自治区林业科学研究院、南宁市老友粉协会、广西复记食品科</w:t>
      </w:r>
      <w:r>
        <w:rPr>
          <w:rFonts w:hint="eastAsia" w:eastAsia="仿宋_GB2312" w:cs="Times New Roman"/>
          <w:sz w:val="32"/>
          <w:szCs w:val="32"/>
          <w:lang w:val="zh-CN"/>
        </w:rPr>
        <w:t>技有限公司、广西穗良农业发展甜竹科技有限公司、广西南宁市韩太食品有限责任公司、横州市威和食品有限公司、南宁万国食品有限公司、广西桂小厨餐饮管理有限公司、南宁古源香餐饮管理有限公司、南宁银河有限责任公司、南宁市西乡塘区慧姨餐饮店、广西猪霸王餐饮管理有限公司、南宁市友春食品有限公司等单位意见，</w:t>
      </w:r>
      <w:r>
        <w:rPr>
          <w:rFonts w:hint="eastAsia" w:eastAsia="仿宋_GB2312" w:cs="Times New Roman"/>
          <w:sz w:val="32"/>
          <w:szCs w:val="32"/>
          <w:lang w:val="en-US" w:eastAsia="zh-CN"/>
        </w:rPr>
        <w:t>经起草单位协商一致，确定竹笋竹种选择、分级、感官、理化指标、检验方法等要求</w:t>
      </w:r>
      <w:r>
        <w:rPr>
          <w:rFonts w:hint="eastAsia" w:eastAsia="仿宋_GB2312" w:cs="Times New Roman"/>
          <w:sz w:val="32"/>
          <w:szCs w:val="32"/>
          <w:lang w:val="zh-CN"/>
        </w:rPr>
        <w:t xml:space="preserve">。标准编制工作组对南宁老友粉原料竹笋进行调查研究和分析，对标准草案进行反复修改和研究讨论，形成团体标准《南宁老友粉原料 </w:t>
      </w:r>
      <w:r>
        <w:rPr>
          <w:rFonts w:hint="eastAsia" w:eastAsia="仿宋_GB2312" w:cs="Times New Roman"/>
          <w:sz w:val="32"/>
          <w:szCs w:val="32"/>
        </w:rPr>
        <w:t>竹笋</w:t>
      </w:r>
      <w:r>
        <w:rPr>
          <w:rFonts w:hint="eastAsia" w:eastAsia="仿宋_GB2312" w:cs="Times New Roman"/>
          <w:sz w:val="32"/>
          <w:szCs w:val="32"/>
          <w:lang w:val="zh-CN"/>
        </w:rPr>
        <w:t>》（征求意见稿）和（征求意见稿）编制说明。</w:t>
      </w:r>
    </w:p>
    <w:p w14:paraId="63B683A8">
      <w:pPr>
        <w:numPr>
          <w:ilvl w:val="0"/>
          <w:numId w:val="2"/>
        </w:numPr>
        <w:overflowPunct w:val="0"/>
        <w:topLinePunct/>
        <w:spacing w:line="560" w:lineRule="exact"/>
        <w:outlineLvl w:val="0"/>
        <w:rPr>
          <w:rFonts w:eastAsia="黑体"/>
          <w:bCs/>
          <w:sz w:val="32"/>
          <w:szCs w:val="32"/>
        </w:rPr>
      </w:pPr>
      <w:r>
        <w:rPr>
          <w:rFonts w:hint="eastAsia" w:eastAsia="黑体"/>
          <w:bCs/>
          <w:sz w:val="32"/>
          <w:szCs w:val="32"/>
        </w:rPr>
        <w:t>制定标准的原则和依据，与现行法律、法规的关系，与有关国家标准、行业标准的协调情况</w:t>
      </w:r>
    </w:p>
    <w:p w14:paraId="6BE5A37D">
      <w:pPr>
        <w:pStyle w:val="15"/>
        <w:spacing w:line="560" w:lineRule="exact"/>
        <w:ind w:firstLine="640"/>
        <w:outlineLvl w:val="1"/>
        <w:rPr>
          <w:rFonts w:ascii="Times New Roman" w:hAnsi="Times New Roman" w:eastAsia="楷体_GB2312"/>
          <w:kern w:val="2"/>
          <w:sz w:val="32"/>
          <w:szCs w:val="32"/>
        </w:rPr>
      </w:pPr>
      <w:r>
        <w:rPr>
          <w:rFonts w:ascii="Times New Roman" w:hAnsi="Times New Roman" w:eastAsia="楷体_GB2312"/>
          <w:kern w:val="2"/>
          <w:sz w:val="32"/>
          <w:szCs w:val="32"/>
        </w:rPr>
        <w:t>（一）</w:t>
      </w:r>
      <w:r>
        <w:rPr>
          <w:rFonts w:hint="eastAsia" w:ascii="Times New Roman" w:hAnsi="Times New Roman" w:eastAsia="楷体_GB2312"/>
          <w:kern w:val="2"/>
          <w:sz w:val="32"/>
          <w:szCs w:val="32"/>
        </w:rPr>
        <w:t>编制原则</w:t>
      </w:r>
    </w:p>
    <w:p w14:paraId="63BDDBFB">
      <w:pPr>
        <w:overflowPunct w:val="0"/>
        <w:topLinePunct/>
        <w:spacing w:line="560" w:lineRule="exact"/>
        <w:ind w:firstLine="641"/>
        <w:outlineLvl w:val="2"/>
        <w:rPr>
          <w:rFonts w:eastAsia="仿宋_GB2312"/>
          <w:sz w:val="32"/>
          <w:szCs w:val="32"/>
        </w:rPr>
      </w:pPr>
      <w:r>
        <w:rPr>
          <w:rFonts w:hint="eastAsia" w:eastAsia="仿宋_GB2312"/>
          <w:sz w:val="32"/>
          <w:szCs w:val="32"/>
        </w:rPr>
        <w:t>1、</w:t>
      </w:r>
      <w:r>
        <w:rPr>
          <w:rFonts w:eastAsia="仿宋_GB2312"/>
          <w:sz w:val="32"/>
          <w:szCs w:val="32"/>
        </w:rPr>
        <w:t>实用性原则</w:t>
      </w:r>
    </w:p>
    <w:p w14:paraId="05AD29D8">
      <w:pPr>
        <w:overflowPunct w:val="0"/>
        <w:topLinePunct/>
        <w:spacing w:line="560" w:lineRule="exact"/>
        <w:ind w:firstLine="640"/>
        <w:rPr>
          <w:rFonts w:eastAsia="仿宋_GB2312"/>
          <w:sz w:val="32"/>
          <w:szCs w:val="32"/>
        </w:rPr>
      </w:pPr>
      <w:r>
        <w:rPr>
          <w:rFonts w:hint="eastAsia" w:eastAsia="仿宋_GB2312"/>
          <w:sz w:val="32"/>
          <w:szCs w:val="32"/>
        </w:rPr>
        <w:t>本文件是在充分收集相关资料和文献，调研广西南宁老友粉原料竹笋品种、种植、采收、运输及保存等情况，分析南宁老友粉原料竹笋当前现状，在现有南宁老友粉原料竹笋的基础上，结合南宁市林业科学研究所和广西壮族自治区林业科学研究院等单位多年的</w:t>
      </w:r>
      <w:r>
        <w:rPr>
          <w:rFonts w:hint="eastAsia" w:eastAsia="仿宋_GB2312"/>
          <w:sz w:val="32"/>
          <w:szCs w:val="32"/>
          <w:lang w:val="en-US" w:eastAsia="zh-CN"/>
        </w:rPr>
        <w:t>研究</w:t>
      </w:r>
      <w:r>
        <w:rPr>
          <w:rFonts w:hint="eastAsia" w:eastAsia="仿宋_GB2312"/>
          <w:sz w:val="32"/>
          <w:szCs w:val="32"/>
        </w:rPr>
        <w:t>经验</w:t>
      </w:r>
      <w:r>
        <w:rPr>
          <w:rFonts w:hint="eastAsia" w:eastAsia="仿宋_GB2312"/>
          <w:sz w:val="32"/>
          <w:szCs w:val="32"/>
          <w:lang w:eastAsia="zh-CN"/>
        </w:rPr>
        <w:t>，</w:t>
      </w:r>
      <w:r>
        <w:rPr>
          <w:rFonts w:hint="eastAsia" w:eastAsia="仿宋_GB2312"/>
          <w:sz w:val="32"/>
          <w:szCs w:val="32"/>
          <w:lang w:val="en-US" w:eastAsia="zh-CN"/>
        </w:rPr>
        <w:t>结合</w:t>
      </w:r>
      <w:r>
        <w:rPr>
          <w:rFonts w:hint="eastAsia" w:eastAsia="仿宋_GB2312" w:cs="Times New Roman"/>
          <w:sz w:val="32"/>
          <w:szCs w:val="32"/>
          <w:lang w:val="zh-CN"/>
        </w:rPr>
        <w:t>南宁万国食品有限公司、广西桂小厨餐饮管理有限公司、南宁古源香餐饮管理有限公司、南宁银河有限责任公司、南宁市西乡塘区慧姨餐饮店、广西猪霸王餐饮管理有限公司、南宁市友春食品有限公司</w:t>
      </w:r>
      <w:r>
        <w:rPr>
          <w:rFonts w:hint="eastAsia" w:eastAsia="仿宋_GB2312" w:cs="Times New Roman"/>
          <w:sz w:val="32"/>
          <w:szCs w:val="32"/>
          <w:lang w:val="en-US" w:eastAsia="zh-CN"/>
        </w:rPr>
        <w:t>等老友粉企业的需求情况</w:t>
      </w:r>
      <w:r>
        <w:rPr>
          <w:rFonts w:hint="eastAsia" w:eastAsia="仿宋_GB2312"/>
          <w:sz w:val="32"/>
          <w:szCs w:val="32"/>
        </w:rPr>
        <w:t>而总结起草的，符合当前南宁老友粉原料竹笋产业发展的方向与社会需求，有利于南宁老友粉产业的长远发展，提高南宁老友粉品质，提高社会效益</w:t>
      </w:r>
      <w:r>
        <w:rPr>
          <w:rFonts w:eastAsia="仿宋_GB2312"/>
          <w:sz w:val="32"/>
          <w:szCs w:val="32"/>
        </w:rPr>
        <w:t>，</w:t>
      </w:r>
      <w:r>
        <w:rPr>
          <w:rFonts w:hint="eastAsia" w:eastAsia="仿宋_GB2312"/>
          <w:sz w:val="32"/>
          <w:szCs w:val="32"/>
        </w:rPr>
        <w:t>对推动南宁老友粉产业发展具有较强的实用性和可操作性。</w:t>
      </w:r>
    </w:p>
    <w:p w14:paraId="5F2AE808">
      <w:pPr>
        <w:overflowPunct w:val="0"/>
        <w:topLinePunct/>
        <w:spacing w:line="560" w:lineRule="exact"/>
        <w:ind w:firstLine="641"/>
        <w:outlineLvl w:val="2"/>
        <w:rPr>
          <w:rFonts w:eastAsia="仿宋_GB2312"/>
          <w:sz w:val="32"/>
          <w:szCs w:val="32"/>
        </w:rPr>
      </w:pPr>
      <w:r>
        <w:rPr>
          <w:rFonts w:hint="eastAsia" w:eastAsia="仿宋_GB2312"/>
          <w:sz w:val="32"/>
          <w:szCs w:val="32"/>
        </w:rPr>
        <w:t>2、协调性原则</w:t>
      </w:r>
    </w:p>
    <w:p w14:paraId="0C146D53">
      <w:pPr>
        <w:overflowPunct w:val="0"/>
        <w:topLinePunct/>
        <w:spacing w:line="560" w:lineRule="exact"/>
        <w:ind w:firstLine="640"/>
        <w:rPr>
          <w:rFonts w:eastAsia="仿宋_GB2312"/>
          <w:sz w:val="32"/>
          <w:szCs w:val="32"/>
        </w:rPr>
      </w:pPr>
      <w:r>
        <w:rPr>
          <w:rFonts w:hint="eastAsia" w:eastAsia="仿宋_GB2312"/>
          <w:sz w:val="32"/>
          <w:szCs w:val="32"/>
        </w:rPr>
        <w:t>本文件编写过程中注意了与南宁老友粉原料竹笋相关法律法规的协调问题，在内容上与现行法律法规、标准协调一致。</w:t>
      </w:r>
    </w:p>
    <w:p w14:paraId="06B2CAA5">
      <w:pPr>
        <w:overflowPunct w:val="0"/>
        <w:topLinePunct/>
        <w:spacing w:line="560" w:lineRule="exact"/>
        <w:ind w:firstLine="641"/>
        <w:outlineLvl w:val="2"/>
        <w:rPr>
          <w:rFonts w:eastAsia="仿宋_GB2312"/>
          <w:sz w:val="32"/>
          <w:szCs w:val="32"/>
        </w:rPr>
      </w:pPr>
      <w:r>
        <w:rPr>
          <w:rFonts w:hint="eastAsia" w:eastAsia="仿宋_GB2312"/>
          <w:sz w:val="32"/>
          <w:szCs w:val="32"/>
        </w:rPr>
        <w:t>3、规范性原则</w:t>
      </w:r>
    </w:p>
    <w:p w14:paraId="1414C5FB">
      <w:pPr>
        <w:overflowPunct w:val="0"/>
        <w:topLinePunct/>
        <w:spacing w:line="560" w:lineRule="exact"/>
        <w:ind w:firstLine="640"/>
        <w:rPr>
          <w:rFonts w:eastAsia="仿宋_GB2312"/>
          <w:sz w:val="32"/>
          <w:szCs w:val="32"/>
        </w:rPr>
      </w:pPr>
      <w:r>
        <w:rPr>
          <w:rFonts w:hint="eastAsia" w:eastAsia="仿宋_GB2312"/>
          <w:sz w:val="32"/>
          <w:szCs w:val="32"/>
        </w:rPr>
        <w:t>本文件严格按照GB/T 1.1—2020《标准化工作导则  第1部分：标准化文件的结构和起草规则》编写本标准的内容，保证标准的编写质量。</w:t>
      </w:r>
    </w:p>
    <w:p w14:paraId="7BFBDDD6">
      <w:pPr>
        <w:overflowPunct w:val="0"/>
        <w:topLinePunct/>
        <w:spacing w:line="560" w:lineRule="exact"/>
        <w:ind w:firstLine="641"/>
        <w:outlineLvl w:val="2"/>
        <w:rPr>
          <w:rFonts w:eastAsia="仿宋_GB2312"/>
          <w:sz w:val="32"/>
          <w:szCs w:val="32"/>
        </w:rPr>
      </w:pPr>
      <w:r>
        <w:rPr>
          <w:rFonts w:hint="eastAsia" w:eastAsia="仿宋_GB2312"/>
          <w:sz w:val="32"/>
          <w:szCs w:val="32"/>
        </w:rPr>
        <w:t>4、前瞻性原则</w:t>
      </w:r>
    </w:p>
    <w:p w14:paraId="087A48AA">
      <w:pPr>
        <w:overflowPunct w:val="0"/>
        <w:topLinePunct/>
        <w:spacing w:line="560" w:lineRule="exact"/>
        <w:ind w:firstLine="640"/>
        <w:rPr>
          <w:rFonts w:eastAsia="仿宋_GB2312"/>
          <w:sz w:val="32"/>
          <w:szCs w:val="32"/>
        </w:rPr>
      </w:pPr>
      <w:r>
        <w:rPr>
          <w:rFonts w:hint="eastAsia" w:eastAsia="仿宋_GB2312"/>
          <w:sz w:val="32"/>
          <w:szCs w:val="32"/>
        </w:rPr>
        <w:t>本文件在兼顾当前南宁老友粉原料竹笋现实情况的同时，还考虑到了南宁老友粉原料竹笋产业发展的趋势和</w:t>
      </w:r>
      <w:r>
        <w:rPr>
          <w:rFonts w:eastAsia="仿宋_GB2312"/>
          <w:sz w:val="32"/>
          <w:szCs w:val="32"/>
        </w:rPr>
        <w:t>结构调整</w:t>
      </w:r>
      <w:r>
        <w:rPr>
          <w:rFonts w:hint="eastAsia" w:eastAsia="仿宋_GB2312"/>
          <w:sz w:val="32"/>
          <w:szCs w:val="32"/>
        </w:rPr>
        <w:t>需要，在标准中体现了个别特色性、前瞻性和实用性条款，作为对南宁老友粉原料竹笋产业发展的指导。</w:t>
      </w:r>
    </w:p>
    <w:p w14:paraId="56426737">
      <w:pPr>
        <w:pStyle w:val="15"/>
        <w:spacing w:line="560" w:lineRule="exact"/>
        <w:ind w:firstLine="640"/>
        <w:outlineLvl w:val="1"/>
        <w:rPr>
          <w:rFonts w:ascii="Times New Roman" w:hAnsi="Times New Roman" w:eastAsia="楷体_GB2312"/>
          <w:kern w:val="2"/>
          <w:sz w:val="32"/>
          <w:szCs w:val="32"/>
        </w:rPr>
      </w:pPr>
      <w:r>
        <w:rPr>
          <w:rFonts w:hint="eastAsia" w:ascii="Times New Roman" w:hAnsi="Times New Roman" w:eastAsia="楷体_GB2312"/>
          <w:kern w:val="2"/>
          <w:sz w:val="32"/>
          <w:szCs w:val="32"/>
        </w:rPr>
        <w:t>（二）编制依据</w:t>
      </w:r>
    </w:p>
    <w:p w14:paraId="4C7E916E">
      <w:pPr>
        <w:pStyle w:val="7"/>
        <w:widowControl/>
        <w:tabs>
          <w:tab w:val="left" w:pos="2268"/>
        </w:tabs>
        <w:spacing w:before="0" w:beforeAutospacing="0" w:after="0" w:afterAutospacing="0" w:line="520" w:lineRule="exact"/>
        <w:ind w:firstLine="640" w:firstLineChars="200"/>
        <w:jc w:val="both"/>
        <w:rPr>
          <w:rFonts w:eastAsia="仿宋_GB2312"/>
          <w:sz w:val="32"/>
          <w:szCs w:val="32"/>
        </w:rPr>
      </w:pPr>
      <w:r>
        <w:rPr>
          <w:rFonts w:eastAsia="仿宋_GB2312"/>
          <w:sz w:val="32"/>
          <w:szCs w:val="32"/>
        </w:rPr>
        <w:t>本标准严格按照GB/T 1.1</w:t>
      </w:r>
      <w:r>
        <w:rPr>
          <w:rFonts w:hint="eastAsia" w:eastAsia="仿宋_GB2312"/>
          <w:sz w:val="32"/>
          <w:szCs w:val="32"/>
        </w:rPr>
        <w:t>-</w:t>
      </w:r>
      <w:r>
        <w:rPr>
          <w:rFonts w:eastAsia="仿宋_GB2312"/>
          <w:sz w:val="32"/>
          <w:szCs w:val="32"/>
        </w:rPr>
        <w:t>2020《标准化工作导则  第1部分：标准化文件的结构和起草规则》的</w:t>
      </w:r>
      <w:r>
        <w:rPr>
          <w:rFonts w:hint="eastAsia" w:eastAsia="仿宋_GB2312"/>
          <w:sz w:val="32"/>
          <w:szCs w:val="32"/>
        </w:rPr>
        <w:t>规则</w:t>
      </w:r>
      <w:r>
        <w:rPr>
          <w:rFonts w:eastAsia="仿宋_GB2312"/>
          <w:sz w:val="32"/>
          <w:szCs w:val="32"/>
        </w:rPr>
        <w:t>起草</w:t>
      </w:r>
      <w:r>
        <w:rPr>
          <w:rFonts w:hint="eastAsia" w:eastAsia="仿宋_GB2312"/>
          <w:sz w:val="32"/>
          <w:szCs w:val="32"/>
        </w:rPr>
        <w:t>，标准主要内容参考《</w:t>
      </w:r>
      <w:r>
        <w:rPr>
          <w:rFonts w:hint="eastAsia" w:eastAsia="仿宋_GB2312" w:cs="Times New Roman"/>
          <w:sz w:val="32"/>
          <w:szCs w:val="32"/>
        </w:rPr>
        <w:t>GB/T 30762-2014  主要竹笋质量分级</w:t>
      </w:r>
      <w:r>
        <w:rPr>
          <w:rFonts w:hint="eastAsia" w:eastAsia="仿宋_GB2312"/>
          <w:sz w:val="32"/>
          <w:szCs w:val="32"/>
        </w:rPr>
        <w:t>》《</w:t>
      </w:r>
      <w:r>
        <w:rPr>
          <w:rFonts w:eastAsia="仿宋_GB2312" w:cs="Times New Roman"/>
          <w:sz w:val="32"/>
          <w:szCs w:val="32"/>
        </w:rPr>
        <w:t>DB45/T 905</w:t>
      </w:r>
      <w:r>
        <w:rPr>
          <w:rFonts w:hint="eastAsia" w:eastAsia="仿宋_GB2312" w:cs="Times New Roman"/>
          <w:sz w:val="32"/>
          <w:szCs w:val="32"/>
        </w:rPr>
        <w:t>-</w:t>
      </w:r>
      <w:r>
        <w:rPr>
          <w:rFonts w:eastAsia="仿宋_GB2312" w:cs="Times New Roman"/>
          <w:sz w:val="32"/>
          <w:szCs w:val="32"/>
        </w:rPr>
        <w:t>2019</w:t>
      </w:r>
      <w:r>
        <w:rPr>
          <w:rFonts w:hint="eastAsia" w:eastAsia="仿宋_GB2312"/>
          <w:sz w:val="32"/>
          <w:szCs w:val="32"/>
        </w:rPr>
        <w:t xml:space="preserve">  </w:t>
      </w:r>
      <w:r>
        <w:rPr>
          <w:rFonts w:eastAsia="仿宋_GB2312" w:cs="Times New Roman"/>
          <w:sz w:val="32"/>
          <w:szCs w:val="32"/>
        </w:rPr>
        <w:t>地理标志产品 八渡笋</w:t>
      </w:r>
      <w:r>
        <w:rPr>
          <w:rFonts w:hint="eastAsia" w:eastAsia="仿宋_GB2312"/>
          <w:sz w:val="32"/>
          <w:szCs w:val="32"/>
        </w:rPr>
        <w:t>》《</w:t>
      </w:r>
      <w:r>
        <w:rPr>
          <w:rFonts w:eastAsia="仿宋_GB2312" w:cs="Times New Roman"/>
          <w:sz w:val="32"/>
          <w:szCs w:val="32"/>
        </w:rPr>
        <w:t>DB4418/T 022</w:t>
      </w:r>
      <w:r>
        <w:rPr>
          <w:rFonts w:hint="eastAsia" w:eastAsia="仿宋_GB2312" w:cs="Times New Roman"/>
          <w:sz w:val="32"/>
          <w:szCs w:val="32"/>
        </w:rPr>
        <w:t>-</w:t>
      </w:r>
      <w:r>
        <w:rPr>
          <w:rFonts w:eastAsia="仿宋_GB2312" w:cs="Times New Roman"/>
          <w:sz w:val="32"/>
          <w:szCs w:val="32"/>
        </w:rPr>
        <w:t>2023</w:t>
      </w:r>
      <w:r>
        <w:rPr>
          <w:rFonts w:hint="eastAsia" w:eastAsia="仿宋_GB2312"/>
          <w:sz w:val="32"/>
          <w:szCs w:val="32"/>
        </w:rPr>
        <w:t xml:space="preserve">  </w:t>
      </w:r>
      <w:r>
        <w:rPr>
          <w:rFonts w:hint="eastAsia" w:eastAsia="仿宋_GB2312" w:cs="Times New Roman"/>
          <w:sz w:val="32"/>
          <w:szCs w:val="32"/>
        </w:rPr>
        <w:t>西牛麻竹笋 种植技术规程</w:t>
      </w:r>
      <w:r>
        <w:rPr>
          <w:rFonts w:hint="eastAsia" w:eastAsia="仿宋_GB2312"/>
          <w:sz w:val="32"/>
          <w:szCs w:val="32"/>
        </w:rPr>
        <w:t>》等相关</w:t>
      </w:r>
      <w:r>
        <w:rPr>
          <w:rFonts w:eastAsia="仿宋_GB2312"/>
          <w:sz w:val="32"/>
          <w:szCs w:val="32"/>
        </w:rPr>
        <w:t>标准的基础上结合起草单位</w:t>
      </w:r>
      <w:r>
        <w:rPr>
          <w:rFonts w:hint="eastAsia" w:eastAsia="仿宋_GB2312"/>
          <w:sz w:val="32"/>
          <w:szCs w:val="32"/>
        </w:rPr>
        <w:t>生产实际确定，其中竹笋分级指标主要依据大批量实地抽样调查竹笋性状，经数据分析、讨论确定。</w:t>
      </w:r>
    </w:p>
    <w:p w14:paraId="66E18003">
      <w:pPr>
        <w:pStyle w:val="15"/>
        <w:spacing w:line="560" w:lineRule="exact"/>
        <w:ind w:firstLine="640"/>
        <w:outlineLvl w:val="1"/>
        <w:rPr>
          <w:rFonts w:ascii="Times New Roman" w:hAnsi="Times New Roman" w:eastAsia="楷体_GB2312"/>
          <w:kern w:val="2"/>
          <w:sz w:val="32"/>
          <w:szCs w:val="32"/>
        </w:rPr>
      </w:pPr>
      <w:r>
        <w:rPr>
          <w:rFonts w:hint="eastAsia" w:ascii="Times New Roman" w:hAnsi="Times New Roman" w:eastAsia="楷体_GB2312"/>
          <w:kern w:val="2"/>
          <w:sz w:val="32"/>
          <w:szCs w:val="32"/>
        </w:rPr>
        <w:t>（三）与现行法律、法规的关系，与有关国家标准、行业标准的协调情况</w:t>
      </w:r>
    </w:p>
    <w:p w14:paraId="73F8CDD3">
      <w:pPr>
        <w:overflowPunct w:val="0"/>
        <w:topLinePunct/>
        <w:spacing w:line="560" w:lineRule="exact"/>
        <w:ind w:firstLine="640"/>
        <w:rPr>
          <w:rFonts w:eastAsia="仿宋_GB2312"/>
          <w:sz w:val="32"/>
          <w:szCs w:val="32"/>
        </w:rPr>
      </w:pPr>
      <w:r>
        <w:rPr>
          <w:rFonts w:hint="eastAsia" w:eastAsia="仿宋_GB2312"/>
          <w:sz w:val="32"/>
          <w:szCs w:val="32"/>
        </w:rPr>
        <w:t>经查阅，目前国内无“南宁老友粉原料 竹笋”的标准。</w:t>
      </w:r>
    </w:p>
    <w:p w14:paraId="7583A672">
      <w:pPr>
        <w:overflowPunct w:val="0"/>
        <w:topLinePunct/>
        <w:spacing w:line="560" w:lineRule="exact"/>
        <w:ind w:firstLine="640"/>
        <w:rPr>
          <w:rFonts w:eastAsia="仿宋_GB2312"/>
          <w:sz w:val="32"/>
          <w:szCs w:val="32"/>
        </w:rPr>
        <w:sectPr>
          <w:footerReference r:id="rId4" w:type="default"/>
          <w:headerReference r:id="rId3" w:type="even"/>
          <w:footerReference r:id="rId5" w:type="even"/>
          <w:pgSz w:w="11906" w:h="16838"/>
          <w:pgMar w:top="1474" w:right="1800" w:bottom="1474" w:left="1474" w:header="851" w:footer="992" w:gutter="0"/>
          <w:cols w:space="425" w:num="1"/>
          <w:docGrid w:type="lines" w:linePitch="312" w:charSpace="0"/>
        </w:sectPr>
      </w:pPr>
    </w:p>
    <w:p w14:paraId="2AFD1695">
      <w:pPr>
        <w:overflowPunct w:val="0"/>
        <w:topLinePunct/>
        <w:spacing w:line="560" w:lineRule="exact"/>
        <w:ind w:firstLine="640"/>
        <w:rPr>
          <w:rFonts w:eastAsia="仿宋_GB2312"/>
          <w:sz w:val="32"/>
          <w:szCs w:val="32"/>
        </w:rPr>
      </w:pPr>
      <w:r>
        <w:rPr>
          <w:rFonts w:hint="eastAsia" w:eastAsia="仿宋_GB2312"/>
          <w:sz w:val="32"/>
          <w:szCs w:val="32"/>
        </w:rPr>
        <w:t>与“老</w:t>
      </w:r>
      <w:r>
        <w:rPr>
          <w:rFonts w:hint="eastAsia" w:ascii="Times New Roman" w:hAnsi="Times New Roman" w:eastAsia="仿宋_GB2312" w:cs="Times New Roman"/>
          <w:kern w:val="0"/>
          <w:sz w:val="32"/>
          <w:szCs w:val="32"/>
          <w:lang w:val="en-US" w:eastAsia="zh-CN" w:bidi="ar-SA"/>
        </w:rPr>
        <w:t>友粉  竹笋”“竹笋”有关的标准有</w:t>
      </w:r>
      <w:r>
        <w:rPr>
          <w:rFonts w:hint="eastAsia" w:eastAsia="仿宋_GB2312" w:cs="Times New Roman"/>
          <w:kern w:val="0"/>
          <w:sz w:val="32"/>
          <w:szCs w:val="32"/>
          <w:lang w:val="en-US" w:eastAsia="zh-CN" w:bidi="ar-SA"/>
        </w:rPr>
        <w:t>：</w:t>
      </w:r>
      <w:r>
        <w:rPr>
          <w:rFonts w:hint="eastAsia" w:ascii="Times New Roman" w:hAnsi="Times New Roman" w:eastAsia="仿宋_GB2312" w:cs="Times New Roman"/>
          <w:kern w:val="0"/>
          <w:sz w:val="32"/>
          <w:szCs w:val="32"/>
          <w:lang w:val="en-US" w:eastAsia="zh-CN" w:bidi="ar-SA"/>
        </w:rPr>
        <w:t xml:space="preserve">《GB/T 30762-2014  主要竹笋质量分级》《GB/T 30762-2014  毛竹笋栽培技术规程》《NY/T 5233-2004  </w:t>
      </w:r>
      <w:r>
        <w:rPr>
          <w:rFonts w:hint="eastAsia" w:ascii="Times New Roman" w:hAnsi="Times New Roman" w:eastAsia="仿宋_GB2312" w:cs="Times New Roman"/>
          <w:kern w:val="0"/>
          <w:sz w:val="32"/>
          <w:szCs w:val="32"/>
          <w:lang w:val="en-US" w:eastAsia="zh-CN" w:bidi="ar-SA"/>
        </w:rPr>
        <w:fldChar w:fldCharType="begin"/>
      </w:r>
      <w:r>
        <w:rPr>
          <w:rFonts w:hint="eastAsia" w:ascii="Times New Roman" w:hAnsi="Times New Roman" w:eastAsia="仿宋_GB2312" w:cs="Times New Roman"/>
          <w:kern w:val="0"/>
          <w:sz w:val="32"/>
          <w:szCs w:val="32"/>
          <w:lang w:val="en-US" w:eastAsia="zh-CN" w:bidi="ar-SA"/>
        </w:rPr>
        <w:instrText xml:space="preserve"> HYPERLINK "https://std.samr.gov.cn/hb/search/stdHBDetailed?id=B93A785C638E6B37E05397BE0A0AB00C" \t "https://std.samr.gov.cn/search/_blank" </w:instrText>
      </w:r>
      <w:r>
        <w:rPr>
          <w:rFonts w:hint="eastAsia" w:ascii="Times New Roman" w:hAnsi="Times New Roman" w:eastAsia="仿宋_GB2312" w:cs="Times New Roman"/>
          <w:kern w:val="0"/>
          <w:sz w:val="32"/>
          <w:szCs w:val="32"/>
          <w:lang w:val="en-US" w:eastAsia="zh-CN" w:bidi="ar-SA"/>
        </w:rPr>
        <w:fldChar w:fldCharType="separate"/>
      </w:r>
      <w:r>
        <w:rPr>
          <w:rFonts w:hint="eastAsia" w:ascii="Times New Roman" w:hAnsi="Times New Roman" w:eastAsia="仿宋_GB2312" w:cs="Times New Roman"/>
          <w:kern w:val="0"/>
          <w:sz w:val="32"/>
          <w:szCs w:val="32"/>
          <w:lang w:val="en-US" w:eastAsia="zh-CN" w:bidi="ar-SA"/>
        </w:rPr>
        <w:t>无公害食品竹笋生产技术规程</w:t>
      </w:r>
      <w:r>
        <w:rPr>
          <w:rFonts w:hint="eastAsia" w:ascii="Times New Roman" w:hAnsi="Times New Roman" w:eastAsia="仿宋_GB2312" w:cs="Times New Roman"/>
          <w:kern w:val="0"/>
          <w:sz w:val="32"/>
          <w:szCs w:val="32"/>
          <w:lang w:val="en-US" w:eastAsia="zh-CN" w:bidi="ar-SA"/>
        </w:rPr>
        <w:fldChar w:fldCharType="end"/>
      </w:r>
      <w:r>
        <w:rPr>
          <w:rFonts w:hint="eastAsia" w:ascii="Times New Roman" w:hAnsi="Times New Roman" w:eastAsia="仿宋_GB2312" w:cs="Times New Roman"/>
          <w:kern w:val="0"/>
          <w:sz w:val="32"/>
          <w:szCs w:val="32"/>
          <w:lang w:val="en-US" w:eastAsia="zh-CN" w:bidi="ar-SA"/>
        </w:rPr>
        <w:t>》《LY/T 1834-2014  早竹笋用林丰产栽培技术规程》《LY/T 2138-2013  早竹笋生产技术规程及产品质量分级》《DB4452/T 9-2022  竹笋栽培技术规程》《DB4502/T 0041-2022  柳州螺蛳粉原料 竹笋种植基地评价规范》《DB44/T 358-2006  麻竹笋栽培技术规程》《DB4502/T 0040-2022  柳州螺蛳粉原料 竹</w:t>
      </w:r>
      <w:r>
        <w:rPr>
          <w:rFonts w:hint="eastAsia" w:eastAsia="仿宋_GB2312"/>
          <w:sz w:val="32"/>
          <w:szCs w:val="32"/>
        </w:rPr>
        <w:t>笋种植基地建设规范》《</w:t>
      </w:r>
      <w:r>
        <w:rPr>
          <w:rFonts w:eastAsia="仿宋_GB2312"/>
          <w:sz w:val="32"/>
          <w:szCs w:val="32"/>
        </w:rPr>
        <w:t xml:space="preserve">DB4502/T 0002-2022  </w:t>
      </w:r>
      <w:r>
        <w:fldChar w:fldCharType="begin"/>
      </w:r>
      <w:r>
        <w:instrText xml:space="preserve"> HYPERLINK "https://std.samr.gov.cn/db/search/stdDBDetailed?id=DEA51DDBC701DD15E05397BE0A0A9B6D" \t "https://std.samr.gov.cn/search/_blank" </w:instrText>
      </w:r>
      <w:r>
        <w:fldChar w:fldCharType="separate"/>
      </w:r>
      <w:r>
        <w:rPr>
          <w:rFonts w:eastAsia="仿宋_GB2312"/>
          <w:sz w:val="32"/>
          <w:szCs w:val="32"/>
        </w:rPr>
        <w:t>柳州螺蛳粉原料竹笋生产技术规程</w:t>
      </w:r>
      <w:r>
        <w:rPr>
          <w:rFonts w:eastAsia="仿宋_GB2312"/>
          <w:sz w:val="32"/>
          <w:szCs w:val="32"/>
        </w:rPr>
        <w:fldChar w:fldCharType="end"/>
      </w:r>
      <w:r>
        <w:rPr>
          <w:rFonts w:hint="eastAsia" w:eastAsia="仿宋_GB2312"/>
          <w:sz w:val="32"/>
          <w:szCs w:val="32"/>
        </w:rPr>
        <w:t>》《DB45/T 302-2005</w:t>
      </w:r>
      <w:r>
        <w:rPr>
          <w:rFonts w:eastAsia="仿宋_GB2312"/>
          <w:sz w:val="32"/>
          <w:szCs w:val="32"/>
        </w:rPr>
        <w:t xml:space="preserve">  </w:t>
      </w:r>
      <w:r>
        <w:rPr>
          <w:rFonts w:hint="eastAsia" w:eastAsia="仿宋_GB2312"/>
          <w:sz w:val="32"/>
          <w:szCs w:val="32"/>
        </w:rPr>
        <w:t>甜竹笋生产技术规程》《DB 45/T 2560-2022</w:t>
      </w:r>
      <w:r>
        <w:rPr>
          <w:rFonts w:eastAsia="仿宋_GB2312"/>
          <w:sz w:val="32"/>
          <w:szCs w:val="32"/>
        </w:rPr>
        <w:t xml:space="preserve">  预包装南宁老友粉生产规范</w:t>
      </w:r>
      <w:r>
        <w:rPr>
          <w:rFonts w:hint="eastAsia" w:eastAsia="仿宋_GB2312"/>
          <w:sz w:val="32"/>
          <w:szCs w:val="32"/>
        </w:rPr>
        <w:t>》《DBS 45/053-2018食品安全地方标准 南宁老友粉》《QB/T 1406-2014</w:t>
      </w:r>
      <w:r>
        <w:rPr>
          <w:rFonts w:eastAsia="仿宋_GB2312"/>
          <w:sz w:val="32"/>
          <w:szCs w:val="32"/>
        </w:rPr>
        <w:t xml:space="preserve">  </w:t>
      </w:r>
      <w:r>
        <w:rPr>
          <w:rFonts w:hint="eastAsia" w:eastAsia="仿宋_GB2312"/>
          <w:sz w:val="32"/>
          <w:szCs w:val="32"/>
        </w:rPr>
        <w:t xml:space="preserve">竹笋罐头》。其中，《GB/T 30762-2014  </w:t>
      </w:r>
      <w:r>
        <w:rPr>
          <w:rFonts w:eastAsia="仿宋_GB2312"/>
          <w:sz w:val="32"/>
          <w:szCs w:val="32"/>
        </w:rPr>
        <w:t>主要竹笋质量分级</w:t>
      </w:r>
      <w:r>
        <w:rPr>
          <w:rFonts w:hint="eastAsia" w:eastAsia="仿宋_GB2312"/>
          <w:sz w:val="32"/>
          <w:szCs w:val="32"/>
        </w:rPr>
        <w:t>》本标准规定了竹笋质量指标、试验方法</w:t>
      </w:r>
      <w:r>
        <w:rPr>
          <w:rFonts w:hint="eastAsia" w:eastAsia="仿宋_GB2312"/>
          <w:sz w:val="32"/>
          <w:szCs w:val="32"/>
          <w:lang w:eastAsia="zh-CN"/>
        </w:rPr>
        <w:t>、</w:t>
      </w:r>
      <w:r>
        <w:rPr>
          <w:rFonts w:hint="eastAsia" w:eastAsia="仿宋_GB2312"/>
          <w:sz w:val="32"/>
          <w:szCs w:val="32"/>
        </w:rPr>
        <w:t>检验规则、标志、标签、包装与贮存</w:t>
      </w:r>
      <w:r>
        <w:rPr>
          <w:rFonts w:hint="eastAsia" w:eastAsia="仿宋_GB2312"/>
          <w:sz w:val="32"/>
          <w:szCs w:val="32"/>
          <w:lang w:eastAsia="zh-CN"/>
        </w:rPr>
        <w:t>，</w:t>
      </w:r>
      <w:r>
        <w:rPr>
          <w:rFonts w:hint="eastAsia" w:eastAsia="仿宋_GB2312"/>
          <w:sz w:val="32"/>
          <w:szCs w:val="32"/>
        </w:rPr>
        <w:t>适用于生产和销售的毛竹春笋、毛竹冬笋、麻竹笋、早竹笋</w:t>
      </w:r>
      <w:r>
        <w:rPr>
          <w:rFonts w:hint="eastAsia" w:eastAsia="仿宋_GB2312"/>
          <w:sz w:val="32"/>
          <w:szCs w:val="32"/>
          <w:lang w:eastAsia="zh-CN"/>
        </w:rPr>
        <w:t>、</w:t>
      </w:r>
      <w:r>
        <w:rPr>
          <w:rFonts w:hint="eastAsia" w:eastAsia="仿宋_GB2312"/>
          <w:sz w:val="32"/>
          <w:szCs w:val="32"/>
        </w:rPr>
        <w:t>绿竹笋、苦竹笋。《</w:t>
      </w:r>
      <w:r>
        <w:rPr>
          <w:rFonts w:eastAsia="仿宋_GB2312" w:cs="Times New Roman"/>
          <w:sz w:val="32"/>
          <w:szCs w:val="32"/>
        </w:rPr>
        <w:t>DB45/T 905</w:t>
      </w:r>
      <w:r>
        <w:rPr>
          <w:rFonts w:hint="eastAsia" w:eastAsia="仿宋_GB2312" w:cs="Times New Roman"/>
          <w:sz w:val="32"/>
          <w:szCs w:val="32"/>
        </w:rPr>
        <w:t>-</w:t>
      </w:r>
      <w:r>
        <w:rPr>
          <w:rFonts w:eastAsia="仿宋_GB2312" w:cs="Times New Roman"/>
          <w:sz w:val="32"/>
          <w:szCs w:val="32"/>
        </w:rPr>
        <w:t>2019</w:t>
      </w:r>
      <w:r>
        <w:rPr>
          <w:rFonts w:hint="eastAsia" w:eastAsia="仿宋_GB2312"/>
          <w:sz w:val="32"/>
          <w:szCs w:val="32"/>
        </w:rPr>
        <w:t xml:space="preserve">  </w:t>
      </w:r>
      <w:r>
        <w:rPr>
          <w:rFonts w:eastAsia="仿宋_GB2312" w:cs="Times New Roman"/>
          <w:sz w:val="32"/>
          <w:szCs w:val="32"/>
        </w:rPr>
        <w:t>地理标志产品 八渡笋</w:t>
      </w:r>
      <w:r>
        <w:rPr>
          <w:rFonts w:hint="eastAsia" w:eastAsia="仿宋_GB2312"/>
          <w:sz w:val="32"/>
          <w:szCs w:val="32"/>
        </w:rPr>
        <w:t>》规定了麻竹笋的质量等级等</w:t>
      </w:r>
      <w:r>
        <w:rPr>
          <w:rFonts w:hint="eastAsia" w:eastAsia="仿宋_GB2312"/>
          <w:sz w:val="32"/>
          <w:szCs w:val="32"/>
          <w:lang w:eastAsia="zh-CN"/>
        </w:rPr>
        <w:t>，</w:t>
      </w:r>
      <w:r>
        <w:rPr>
          <w:rFonts w:hint="eastAsia" w:eastAsia="仿宋_GB2312"/>
          <w:sz w:val="32"/>
          <w:szCs w:val="32"/>
        </w:rPr>
        <w:t>适用于特定地区笋干或清水笋。《</w:t>
      </w:r>
      <w:r>
        <w:rPr>
          <w:rFonts w:eastAsia="仿宋_GB2312" w:cs="Times New Roman"/>
          <w:sz w:val="32"/>
          <w:szCs w:val="32"/>
        </w:rPr>
        <w:t>DB4418/T 022</w:t>
      </w:r>
      <w:r>
        <w:rPr>
          <w:rFonts w:hint="eastAsia" w:eastAsia="仿宋_GB2312" w:cs="Times New Roman"/>
          <w:sz w:val="32"/>
          <w:szCs w:val="32"/>
        </w:rPr>
        <w:t>-</w:t>
      </w:r>
      <w:r>
        <w:rPr>
          <w:rFonts w:eastAsia="仿宋_GB2312" w:cs="Times New Roman"/>
          <w:sz w:val="32"/>
          <w:szCs w:val="32"/>
        </w:rPr>
        <w:t>2023</w:t>
      </w:r>
      <w:r>
        <w:rPr>
          <w:rFonts w:hint="eastAsia" w:eastAsia="仿宋_GB2312"/>
          <w:sz w:val="32"/>
          <w:szCs w:val="32"/>
        </w:rPr>
        <w:t xml:space="preserve">  </w:t>
      </w:r>
      <w:r>
        <w:rPr>
          <w:rFonts w:hint="eastAsia" w:eastAsia="仿宋_GB2312" w:cs="Times New Roman"/>
          <w:sz w:val="32"/>
          <w:szCs w:val="32"/>
        </w:rPr>
        <w:t>西牛麻竹笋 种植技术规程</w:t>
      </w:r>
      <w:r>
        <w:rPr>
          <w:rFonts w:hint="eastAsia" w:eastAsia="仿宋_GB2312"/>
          <w:sz w:val="32"/>
          <w:szCs w:val="32"/>
        </w:rPr>
        <w:t>》规定了麻竹笋的采收时间等</w:t>
      </w:r>
      <w:r>
        <w:rPr>
          <w:rFonts w:hint="eastAsia" w:eastAsia="仿宋_GB2312"/>
          <w:sz w:val="32"/>
          <w:szCs w:val="32"/>
          <w:lang w:eastAsia="zh-CN"/>
        </w:rPr>
        <w:t>，</w:t>
      </w:r>
      <w:r>
        <w:rPr>
          <w:rFonts w:hint="eastAsia" w:eastAsia="仿宋_GB2312"/>
          <w:sz w:val="32"/>
          <w:szCs w:val="32"/>
        </w:rPr>
        <w:t>适用于特定地区的麻竹笋。以上标准要么仅限于麻竹等具体某一竹种，要么仅特定地区的竹笋。本标准</w:t>
      </w:r>
      <w:r>
        <w:rPr>
          <w:rFonts w:hint="eastAsia" w:eastAsia="仿宋_GB2312"/>
          <w:sz w:val="32"/>
          <w:szCs w:val="32"/>
          <w:lang w:val="en-US" w:eastAsia="zh-CN"/>
        </w:rPr>
        <w:t>结合</w:t>
      </w:r>
      <w:r>
        <w:rPr>
          <w:rFonts w:hint="eastAsia" w:eastAsia="仿宋_GB2312"/>
          <w:sz w:val="32"/>
          <w:szCs w:val="32"/>
        </w:rPr>
        <w:t>南宁老友粉</w:t>
      </w:r>
      <w:r>
        <w:rPr>
          <w:rFonts w:hint="eastAsia" w:eastAsia="仿宋_GB2312"/>
          <w:sz w:val="32"/>
          <w:szCs w:val="32"/>
          <w:lang w:val="en-US" w:eastAsia="zh-CN"/>
        </w:rPr>
        <w:t>主要原料竹笋的需求，根据《T/GXAS 891—2024  预包装南宁老友粉酸笋料包加工技术规程》规定宜选择饱满完整、肉质厚实、纤维细嫩的笋体经发酵加工而成的鲜嫩爽脆、酸味醇香的酸笋</w:t>
      </w:r>
      <w:r>
        <w:rPr>
          <w:rFonts w:hint="eastAsia" w:eastAsia="仿宋_GB2312"/>
          <w:sz w:val="32"/>
          <w:szCs w:val="32"/>
        </w:rPr>
        <w:t>，</w:t>
      </w:r>
      <w:r>
        <w:rPr>
          <w:rFonts w:hint="eastAsia" w:eastAsia="仿宋_GB2312"/>
          <w:sz w:val="32"/>
          <w:szCs w:val="32"/>
          <w:lang w:val="en-US" w:eastAsia="zh-CN"/>
        </w:rPr>
        <w:t>因此本标准作为酸笋的原料鲜竹笋，结合肉质厚实、纤维细嫩、鲜嫩爽脆、酸味醇香的主要特点，标准</w:t>
      </w:r>
      <w:r>
        <w:rPr>
          <w:rFonts w:hint="eastAsia" w:eastAsia="仿宋_GB2312"/>
          <w:sz w:val="32"/>
          <w:szCs w:val="32"/>
        </w:rPr>
        <w:t>主要核心技术</w:t>
      </w:r>
      <w:r>
        <w:rPr>
          <w:rFonts w:hint="eastAsia" w:eastAsia="仿宋_GB2312"/>
          <w:sz w:val="32"/>
          <w:szCs w:val="32"/>
          <w:lang w:val="en-US" w:eastAsia="zh-CN"/>
        </w:rPr>
        <w:t>规定了</w:t>
      </w:r>
      <w:r>
        <w:rPr>
          <w:rFonts w:hint="eastAsia" w:eastAsia="仿宋_GB2312"/>
          <w:sz w:val="32"/>
          <w:szCs w:val="32"/>
        </w:rPr>
        <w:t>南宁老友粉原料竹笋竹种选择、竹笋采收、竹笋要求、标志、标识、包装和运输等方面的内容，描述了相应的检验方法、检验规则</w:t>
      </w:r>
      <w:r>
        <w:rPr>
          <w:rFonts w:hint="eastAsia" w:eastAsia="仿宋_GB2312"/>
          <w:sz w:val="32"/>
          <w:szCs w:val="32"/>
          <w:lang w:val="zh-CN"/>
        </w:rPr>
        <w:t>。</w:t>
      </w:r>
    </w:p>
    <w:p w14:paraId="633E83E7">
      <w:pPr>
        <w:numPr>
          <w:ilvl w:val="0"/>
          <w:numId w:val="2"/>
        </w:numPr>
        <w:overflowPunct w:val="0"/>
        <w:topLinePunct/>
        <w:spacing w:line="560" w:lineRule="exact"/>
        <w:ind w:left="460"/>
        <w:outlineLvl w:val="0"/>
        <w:rPr>
          <w:rFonts w:eastAsia="黑体"/>
          <w:bCs/>
          <w:sz w:val="32"/>
          <w:szCs w:val="32"/>
        </w:rPr>
        <w:sectPr>
          <w:type w:val="continuous"/>
          <w:pgSz w:w="11906" w:h="16838"/>
          <w:pgMar w:top="1474" w:right="1800" w:bottom="1474" w:left="1474" w:header="851" w:footer="992" w:gutter="0"/>
          <w:cols w:space="425" w:num="1"/>
          <w:docGrid w:type="lines" w:linePitch="312" w:charSpace="0"/>
        </w:sectPr>
      </w:pPr>
    </w:p>
    <w:p w14:paraId="4A582094">
      <w:pPr>
        <w:numPr>
          <w:ilvl w:val="0"/>
          <w:numId w:val="2"/>
        </w:numPr>
        <w:overflowPunct w:val="0"/>
        <w:topLinePunct/>
        <w:spacing w:line="560" w:lineRule="exact"/>
        <w:ind w:left="460"/>
        <w:outlineLvl w:val="0"/>
        <w:rPr>
          <w:rFonts w:eastAsia="黑体"/>
          <w:bCs/>
          <w:sz w:val="32"/>
          <w:szCs w:val="32"/>
        </w:rPr>
      </w:pPr>
      <w:r>
        <w:rPr>
          <w:rFonts w:hint="eastAsia" w:eastAsia="黑体"/>
          <w:bCs/>
          <w:sz w:val="32"/>
          <w:szCs w:val="32"/>
        </w:rPr>
        <w:t>主要条款说明</w:t>
      </w:r>
    </w:p>
    <w:p w14:paraId="31E6AE6D">
      <w:pPr>
        <w:overflowPunct w:val="0"/>
        <w:topLinePunct/>
        <w:spacing w:line="560" w:lineRule="exact"/>
        <w:ind w:firstLine="640" w:firstLineChars="200"/>
        <w:rPr>
          <w:rFonts w:eastAsia="仿宋_GB2312"/>
          <w:sz w:val="32"/>
          <w:szCs w:val="32"/>
        </w:rPr>
      </w:pPr>
      <w:r>
        <w:rPr>
          <w:rFonts w:hint="eastAsia" w:eastAsia="仿宋_GB2312"/>
          <w:sz w:val="32"/>
          <w:szCs w:val="32"/>
        </w:rPr>
        <w:t>团体标准《南宁老友粉原料 竹笋》主要内容包括术语和定义、竹笋要求、检验方法、检验规则、标志、标识、包装和运输等。主要</w:t>
      </w:r>
      <w:r>
        <w:rPr>
          <w:rFonts w:eastAsia="仿宋_GB2312"/>
          <w:sz w:val="32"/>
          <w:szCs w:val="32"/>
        </w:rPr>
        <w:t>核心技术指标在于</w:t>
      </w:r>
      <w:r>
        <w:rPr>
          <w:rFonts w:hint="eastAsia" w:eastAsia="仿宋_GB2312"/>
          <w:sz w:val="32"/>
          <w:szCs w:val="32"/>
        </w:rPr>
        <w:t>：在品种</w:t>
      </w:r>
      <w:r>
        <w:rPr>
          <w:rFonts w:eastAsia="仿宋_GB2312"/>
          <w:sz w:val="32"/>
          <w:szCs w:val="32"/>
        </w:rPr>
        <w:t>选择上</w:t>
      </w:r>
      <w:r>
        <w:rPr>
          <w:rFonts w:hint="eastAsia" w:eastAsia="仿宋_GB2312"/>
          <w:sz w:val="32"/>
          <w:szCs w:val="32"/>
        </w:rPr>
        <w:t>明</w:t>
      </w:r>
      <w:r>
        <w:rPr>
          <w:rFonts w:hint="eastAsia" w:eastAsia="仿宋_GB2312" w:cs="Times New Roman"/>
          <w:sz w:val="32"/>
          <w:szCs w:val="32"/>
        </w:rPr>
        <w:t>确了竹笋的主要品种为麻竹</w:t>
      </w:r>
      <w:r>
        <w:rPr>
          <w:rFonts w:hint="eastAsia" w:eastAsia="仿宋_GB2312" w:cs="Times New Roman"/>
          <w:sz w:val="32"/>
          <w:szCs w:val="32"/>
          <w:lang w:eastAsia="zh-CN"/>
        </w:rPr>
        <w:t>，</w:t>
      </w:r>
      <w:r>
        <w:rPr>
          <w:rFonts w:hint="eastAsia" w:eastAsia="仿宋_GB2312" w:cs="Times New Roman"/>
          <w:sz w:val="32"/>
          <w:szCs w:val="32"/>
          <w:lang w:val="en-US" w:eastAsia="zh-CN"/>
        </w:rPr>
        <w:t>麻竹笋是制作广西酸笋（用于老友粉）的首选且几乎唯一的商业化大规模使用的笋种。</w:t>
      </w:r>
      <w:r>
        <w:rPr>
          <w:rFonts w:hint="eastAsia" w:eastAsia="仿宋_GB2312" w:cs="Times New Roman"/>
          <w:sz w:val="32"/>
          <w:szCs w:val="32"/>
        </w:rPr>
        <w:t>从笋基径、露节数、长度和外观方面规定了竹笋的质量分级指标，将露节数作为体现竹笋老嫩程度和可食用比例的一个重要指标；</w:t>
      </w:r>
      <w:r>
        <w:rPr>
          <w:rFonts w:hint="eastAsia" w:eastAsia="仿宋_GB2312"/>
          <w:sz w:val="32"/>
          <w:szCs w:val="32"/>
        </w:rPr>
        <w:t>根据</w:t>
      </w:r>
      <w:r>
        <w:rPr>
          <w:rFonts w:eastAsia="仿宋_GB2312"/>
          <w:sz w:val="32"/>
          <w:szCs w:val="32"/>
        </w:rPr>
        <w:t>南宁老友粉口味、</w:t>
      </w:r>
      <w:r>
        <w:rPr>
          <w:rFonts w:hint="eastAsia" w:eastAsia="仿宋_GB2312"/>
          <w:sz w:val="32"/>
          <w:szCs w:val="32"/>
        </w:rPr>
        <w:t>感官</w:t>
      </w:r>
      <w:r>
        <w:rPr>
          <w:rFonts w:eastAsia="仿宋_GB2312"/>
          <w:sz w:val="32"/>
          <w:szCs w:val="32"/>
        </w:rPr>
        <w:t>需求</w:t>
      </w:r>
      <w:r>
        <w:rPr>
          <w:rFonts w:hint="eastAsia" w:eastAsia="仿宋_GB2312"/>
          <w:sz w:val="32"/>
          <w:szCs w:val="32"/>
        </w:rPr>
        <w:t>明确了竹</w:t>
      </w:r>
      <w:r>
        <w:rPr>
          <w:rFonts w:hint="eastAsia" w:eastAsia="仿宋_GB2312" w:cs="Times New Roman"/>
          <w:sz w:val="32"/>
          <w:szCs w:val="32"/>
        </w:rPr>
        <w:t>笋新鲜、饱满、无腐烂霉变、无病虫害、切口平整等感官要求，</w:t>
      </w:r>
      <w:r>
        <w:rPr>
          <w:rFonts w:hint="eastAsia" w:eastAsia="仿宋_GB2312"/>
          <w:sz w:val="32"/>
          <w:szCs w:val="32"/>
        </w:rPr>
        <w:t>以及可食率、含水率和粗纤维等</w:t>
      </w:r>
      <w:r>
        <w:rPr>
          <w:rFonts w:eastAsia="仿宋_GB2312"/>
          <w:sz w:val="32"/>
          <w:szCs w:val="32"/>
        </w:rPr>
        <w:t>理化</w:t>
      </w:r>
      <w:r>
        <w:rPr>
          <w:rFonts w:hint="eastAsia" w:eastAsia="仿宋_GB2312"/>
          <w:sz w:val="32"/>
          <w:szCs w:val="32"/>
        </w:rPr>
        <w:t>指标</w:t>
      </w:r>
      <w:r>
        <w:rPr>
          <w:rFonts w:eastAsia="仿宋_GB2312"/>
          <w:sz w:val="32"/>
          <w:szCs w:val="32"/>
        </w:rPr>
        <w:t>要求</w:t>
      </w:r>
      <w:r>
        <w:rPr>
          <w:rFonts w:hint="eastAsia" w:eastAsia="仿宋_GB2312" w:cs="Times New Roman"/>
          <w:sz w:val="32"/>
          <w:szCs w:val="32"/>
        </w:rPr>
        <w:t>。</w:t>
      </w:r>
    </w:p>
    <w:p w14:paraId="79BE4B35">
      <w:pPr>
        <w:spacing w:line="560" w:lineRule="exact"/>
        <w:ind w:firstLine="643" w:firstLineChars="200"/>
        <w:outlineLvl w:val="1"/>
        <w:rPr>
          <w:rFonts w:ascii="仿宋_GB2312" w:eastAsia="仿宋_GB2312"/>
          <w:b/>
          <w:bCs/>
          <w:sz w:val="32"/>
          <w:szCs w:val="32"/>
        </w:rPr>
      </w:pPr>
      <w:r>
        <w:rPr>
          <w:rFonts w:hint="eastAsia" w:ascii="仿宋_GB2312" w:eastAsia="仿宋_GB2312"/>
          <w:b/>
          <w:bCs/>
          <w:sz w:val="32"/>
          <w:szCs w:val="32"/>
        </w:rPr>
        <w:t>（一）术语和</w:t>
      </w:r>
      <w:r>
        <w:rPr>
          <w:rFonts w:ascii="仿宋_GB2312" w:eastAsia="仿宋_GB2312"/>
          <w:b/>
          <w:bCs/>
          <w:sz w:val="32"/>
          <w:szCs w:val="32"/>
        </w:rPr>
        <w:t>定义</w:t>
      </w:r>
    </w:p>
    <w:p w14:paraId="145838A0">
      <w:pPr>
        <w:pStyle w:val="13"/>
        <w:spacing w:after="0" w:line="560" w:lineRule="exact"/>
        <w:ind w:firstLine="640" w:firstLineChars="200"/>
        <w:rPr>
          <w:rFonts w:hint="default" w:ascii="仿宋_GB2312" w:eastAsia="仿宋_GB2312"/>
          <w:bCs/>
          <w:lang w:val="en-US" w:eastAsia="zh-CN"/>
        </w:rPr>
      </w:pPr>
      <w:r>
        <w:rPr>
          <w:rFonts w:hint="eastAsia" w:eastAsia="仿宋_GB2312" w:cs="Times New Roman"/>
        </w:rPr>
        <w:t xml:space="preserve">明确了“南宁老友粉原料竹笋”“笋节 </w:t>
      </w:r>
      <w:r>
        <w:rPr>
          <w:rFonts w:hint="eastAsia" w:eastAsia="仿宋_GB2312" w:cs="Times New Roman"/>
          <w:lang w:eastAsia="zh-CN"/>
        </w:rPr>
        <w:t>”“</w:t>
      </w:r>
      <w:r>
        <w:rPr>
          <w:rFonts w:hint="eastAsia" w:eastAsia="仿宋_GB2312" w:cs="Times New Roman"/>
        </w:rPr>
        <w:t>笋段”、 “露节</w:t>
      </w:r>
      <w:r>
        <w:rPr>
          <w:rFonts w:hint="eastAsia" w:eastAsia="仿宋_GB2312" w:cs="Times New Roman"/>
          <w:lang w:eastAsia="zh-CN"/>
        </w:rPr>
        <w:t>”“</w:t>
      </w:r>
      <w:r>
        <w:rPr>
          <w:rFonts w:hint="eastAsia" w:eastAsia="仿宋_GB2312" w:cs="Times New Roman"/>
        </w:rPr>
        <w:t>可食率”和“笋基径”的定义，主要</w:t>
      </w:r>
      <w:r>
        <w:rPr>
          <w:rFonts w:hint="eastAsia" w:eastAsia="仿宋_GB2312" w:cs="Times New Roman"/>
          <w:lang w:val="en-US" w:eastAsia="zh-CN"/>
        </w:rPr>
        <w:t>参考了GB/T 32770  竹子名词术语、LY/T 2337-2014毛竹笋栽培技术规程、《竹藤研究》《识别竹子需要了解的162个概念》等期刊中关于竹笋生长、品质分析的文章，常对竹笋的基径、节间等特征进行描述，可辅助理解“笋基径”“笋节”等术语的实际应用</w:t>
      </w:r>
      <w:r>
        <w:rPr>
          <w:rFonts w:ascii="仿宋_GB2312" w:eastAsia="仿宋_GB2312"/>
          <w:bCs/>
        </w:rPr>
        <w:t>。</w:t>
      </w:r>
      <w:r>
        <w:rPr>
          <w:rFonts w:hint="eastAsia" w:ascii="仿宋_GB2312" w:eastAsia="仿宋_GB2312"/>
          <w:bCs/>
          <w:lang w:val="en-US" w:eastAsia="zh-CN"/>
        </w:rPr>
        <w:t>同时南宁老友粉原料  竹笋定义根据T GXAS 891—2024 预包装南宁老友粉酸笋料包加工技术规程对原料竹笋要求修改确定。</w:t>
      </w:r>
    </w:p>
    <w:p w14:paraId="08BD2A2C">
      <w:pPr>
        <w:pStyle w:val="13"/>
        <w:spacing w:after="0" w:line="560" w:lineRule="exact"/>
        <w:ind w:firstLine="640" w:firstLineChars="200"/>
        <w:rPr>
          <w:rFonts w:ascii="仿宋_GB2312" w:eastAsia="仿宋_GB2312"/>
          <w:bCs/>
        </w:rPr>
      </w:pPr>
    </w:p>
    <w:p w14:paraId="51DFE068">
      <w:pPr>
        <w:pStyle w:val="13"/>
        <w:spacing w:after="0" w:line="560" w:lineRule="exact"/>
        <w:ind w:firstLine="640" w:firstLineChars="200"/>
        <w:rPr>
          <w:rFonts w:ascii="仿宋_GB2312" w:eastAsia="仿宋_GB2312"/>
          <w:bCs/>
        </w:rPr>
      </w:pPr>
    </w:p>
    <w:p w14:paraId="3FC32980">
      <w:pPr>
        <w:pStyle w:val="13"/>
        <w:spacing w:after="0" w:line="560" w:lineRule="exact"/>
        <w:ind w:firstLine="640" w:firstLineChars="200"/>
        <w:rPr>
          <w:rFonts w:hint="eastAsia" w:ascii="仿宋_GB2312" w:eastAsia="仿宋_GB2312"/>
          <w:bCs/>
          <w:lang w:eastAsia="zh-CN"/>
        </w:rPr>
      </w:pPr>
      <w:r>
        <w:rPr>
          <w:rFonts w:hint="eastAsia" w:ascii="仿宋_GB2312" w:eastAsia="仿宋_GB2312"/>
          <w:bCs/>
          <w:lang w:eastAsia="zh-CN"/>
        </w:rPr>
        <w:drawing>
          <wp:anchor distT="0" distB="0" distL="114300" distR="114300" simplePos="0" relativeHeight="251670528" behindDoc="0" locked="0" layoutInCell="1" allowOverlap="1">
            <wp:simplePos x="0" y="0"/>
            <wp:positionH relativeFrom="column">
              <wp:posOffset>227965</wp:posOffset>
            </wp:positionH>
            <wp:positionV relativeFrom="paragraph">
              <wp:posOffset>3181985</wp:posOffset>
            </wp:positionV>
            <wp:extent cx="5479415" cy="836295"/>
            <wp:effectExtent l="0" t="0" r="6985" b="1905"/>
            <wp:wrapTopAndBottom/>
            <wp:docPr id="12" name="图片 12" descr="a655108b-1b87-422b-b57c-d00afdba6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a655108b-1b87-422b-b57c-d00afdba6855"/>
                    <pic:cNvPicPr>
                      <a:picLocks noChangeAspect="1"/>
                    </pic:cNvPicPr>
                  </pic:nvPicPr>
                  <pic:blipFill>
                    <a:blip r:embed="rId16"/>
                    <a:stretch>
                      <a:fillRect/>
                    </a:stretch>
                  </pic:blipFill>
                  <pic:spPr>
                    <a:xfrm>
                      <a:off x="0" y="0"/>
                      <a:ext cx="5479415" cy="836295"/>
                    </a:xfrm>
                    <a:prstGeom prst="rect">
                      <a:avLst/>
                    </a:prstGeom>
                  </pic:spPr>
                </pic:pic>
              </a:graphicData>
            </a:graphic>
          </wp:anchor>
        </w:drawing>
      </w:r>
      <w:r>
        <w:rPr>
          <w:rFonts w:hint="eastAsia" w:ascii="仿宋_GB2312" w:eastAsia="仿宋_GB2312"/>
          <w:bCs/>
          <w:lang w:eastAsia="zh-CN"/>
        </w:rPr>
        <w:drawing>
          <wp:anchor distT="0" distB="0" distL="114300" distR="114300" simplePos="0" relativeHeight="251669504" behindDoc="0" locked="0" layoutInCell="1" allowOverlap="1">
            <wp:simplePos x="0" y="0"/>
            <wp:positionH relativeFrom="column">
              <wp:posOffset>263525</wp:posOffset>
            </wp:positionH>
            <wp:positionV relativeFrom="paragraph">
              <wp:posOffset>159385</wp:posOffset>
            </wp:positionV>
            <wp:extent cx="5476240" cy="2698115"/>
            <wp:effectExtent l="0" t="0" r="10160" b="6985"/>
            <wp:wrapTopAndBottom/>
            <wp:docPr id="10" name="图片 10" descr="7a2be2f4-c812-4d9e-97f4-9588608d15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7a2be2f4-c812-4d9e-97f4-9588608d15e8"/>
                    <pic:cNvPicPr>
                      <a:picLocks noChangeAspect="1"/>
                    </pic:cNvPicPr>
                  </pic:nvPicPr>
                  <pic:blipFill>
                    <a:blip r:embed="rId17"/>
                    <a:stretch>
                      <a:fillRect/>
                    </a:stretch>
                  </pic:blipFill>
                  <pic:spPr>
                    <a:xfrm>
                      <a:off x="0" y="0"/>
                      <a:ext cx="5476240" cy="2698115"/>
                    </a:xfrm>
                    <a:prstGeom prst="rect">
                      <a:avLst/>
                    </a:prstGeom>
                  </pic:spPr>
                </pic:pic>
              </a:graphicData>
            </a:graphic>
          </wp:anchor>
        </w:drawing>
      </w:r>
    </w:p>
    <w:p w14:paraId="17811C15">
      <w:pPr>
        <w:spacing w:line="560" w:lineRule="exact"/>
        <w:ind w:firstLine="643" w:firstLineChars="200"/>
        <w:outlineLvl w:val="1"/>
        <w:rPr>
          <w:rFonts w:ascii="仿宋_GB2312" w:eastAsia="仿宋_GB2312"/>
          <w:b/>
          <w:bCs/>
          <w:sz w:val="32"/>
          <w:szCs w:val="32"/>
        </w:rPr>
      </w:pPr>
      <w:r>
        <w:rPr>
          <w:rFonts w:hint="eastAsia" w:ascii="仿宋_GB2312" w:eastAsia="仿宋_GB2312"/>
          <w:b/>
          <w:bCs/>
          <w:sz w:val="32"/>
          <w:szCs w:val="32"/>
        </w:rPr>
        <w:t>（二）竹种选择</w:t>
      </w:r>
    </w:p>
    <w:p w14:paraId="4E90CC0B">
      <w:pPr>
        <w:pStyle w:val="13"/>
        <w:spacing w:after="0" w:line="560" w:lineRule="exact"/>
        <w:ind w:firstLine="640" w:firstLineChars="200"/>
        <w:rPr>
          <w:rFonts w:eastAsia="仿宋_GB2312" w:cs="Times New Roman"/>
        </w:rPr>
      </w:pPr>
      <w:r>
        <w:rPr>
          <w:rFonts w:hint="eastAsia" w:eastAsia="仿宋_GB2312" w:cs="Times New Roman"/>
        </w:rPr>
        <w:t>麻竹（</w:t>
      </w:r>
      <w:r>
        <w:rPr>
          <w:rFonts w:eastAsia="仿宋_GB2312" w:cs="Times New Roman"/>
          <w:i/>
        </w:rPr>
        <w:t xml:space="preserve">Dendrocalamus </w:t>
      </w:r>
      <w:r>
        <w:rPr>
          <w:rFonts w:hint="eastAsia" w:eastAsia="仿宋_GB2312" w:cs="Times New Roman"/>
          <w:i/>
        </w:rPr>
        <w:t>l</w:t>
      </w:r>
      <w:r>
        <w:rPr>
          <w:rFonts w:eastAsia="仿宋_GB2312" w:cs="Times New Roman"/>
          <w:i/>
        </w:rPr>
        <w:t>atiflorus</w:t>
      </w:r>
      <w:r>
        <w:rPr>
          <w:rFonts w:hint="eastAsia" w:eastAsia="仿宋_GB2312" w:cs="Times New Roman"/>
        </w:rPr>
        <w:t>）是南宁市重要的笋材两用竹；麻竹的出笋时间长、产量高，其笋是酸笋的主要原材料，人工种植具有较高的经济效益、生态效益与社会效益。2024年南宁市麻竹人工种植面积近4万亩，占南宁市笋用竹人工林的80%以上；为南宁老友粉用量最大的竹笋原料。麻竹笋是制作广西酸笋（用于老友粉）的首选且几乎唯一的商业化大规模使用的笋种。麻竹是大型丛生竹，生长快，产笋量极高，能满足工业化大批量生产的需求。笋肉纤维相对较粗但韧性好，经过发酵后能形成独特的爽脆口感，这正是老友粉酸笋的标志性特点。过于细嫩的笋种发酵后容易软烂失去口感。理论上，大头甜竹笋、绿竹笋等在口感上更细嫩清甜，但因其产量、规格（通常较小）、成本</w:t>
      </w:r>
      <w:r>
        <w:rPr>
          <w:rFonts w:hint="eastAsia" w:eastAsia="仿宋_GB2312" w:cs="Times New Roman"/>
          <w:lang w:eastAsia="zh-CN"/>
        </w:rPr>
        <w:t>，尤其</w:t>
      </w:r>
      <w:r>
        <w:rPr>
          <w:rFonts w:hint="eastAsia" w:eastAsia="仿宋_GB2312" w:cs="Times New Roman"/>
        </w:rPr>
        <w:t>是发酵后风味和口感与麻竹笋差异较大（酸香味不够浓郁突出，口感偏软糯而非爽脆），极少被老友粉生产企业用于大规模生产。即使使用，也通常作为小众或特定风味产品的补充，</w:t>
      </w:r>
      <w:r>
        <w:rPr>
          <w:rFonts w:hint="eastAsia" w:eastAsia="仿宋_GB2312" w:cs="Times New Roman"/>
          <w:lang w:val="en-US" w:eastAsia="zh-CN"/>
        </w:rPr>
        <w:t>但</w:t>
      </w:r>
      <w:r>
        <w:rPr>
          <w:rFonts w:hint="eastAsia" w:eastAsia="仿宋_GB2312" w:cs="Times New Roman"/>
        </w:rPr>
        <w:t>绝非主流。</w:t>
      </w:r>
    </w:p>
    <w:p w14:paraId="7999FC81">
      <w:pPr>
        <w:pStyle w:val="13"/>
        <w:spacing w:after="0" w:line="560" w:lineRule="exact"/>
        <w:ind w:firstLine="640" w:firstLineChars="200"/>
        <w:rPr>
          <w:rFonts w:eastAsia="仿宋_GB2312" w:cs="Times New Roman"/>
        </w:rPr>
      </w:pPr>
      <w:r>
        <w:rPr>
          <w:rFonts w:hint="eastAsia" w:eastAsia="仿宋_GB2312" w:cs="Times New Roman"/>
        </w:rPr>
        <w:t>因此，本标准在南宁市笋用竹种类调研的基础上结合南宁老友粉原料竹笋的实际使用情况，推荐南宁老友粉原料竹笋主</w:t>
      </w:r>
      <w:r>
        <w:rPr>
          <w:rFonts w:hint="eastAsia" w:eastAsia="仿宋_GB2312" w:cs="Times New Roman"/>
          <w:color w:val="auto"/>
        </w:rPr>
        <w:t>要品种为麻竹</w:t>
      </w:r>
      <w:r>
        <w:rPr>
          <w:rFonts w:hint="eastAsia" w:eastAsia="仿宋_GB2312" w:cs="Times New Roman"/>
          <w:color w:val="auto"/>
          <w:lang w:val="en-US" w:eastAsia="zh-CN"/>
        </w:rPr>
        <w:t>等</w:t>
      </w:r>
      <w:r>
        <w:rPr>
          <w:rFonts w:hint="eastAsia" w:eastAsia="仿宋_GB2312" w:cs="Times New Roman"/>
          <w:color w:val="auto"/>
        </w:rPr>
        <w:t>。</w:t>
      </w:r>
    </w:p>
    <w:p w14:paraId="11CF4F25">
      <w:pPr>
        <w:spacing w:line="560" w:lineRule="exact"/>
        <w:ind w:firstLine="643" w:firstLineChars="200"/>
        <w:outlineLvl w:val="1"/>
        <w:rPr>
          <w:rFonts w:ascii="仿宋_GB2312" w:eastAsia="仿宋_GB2312"/>
          <w:b/>
          <w:bCs/>
        </w:rPr>
      </w:pPr>
      <w:r>
        <w:rPr>
          <w:rFonts w:hint="eastAsia" w:ascii="仿宋_GB2312" w:eastAsia="仿宋_GB2312"/>
          <w:b/>
          <w:bCs/>
          <w:sz w:val="32"/>
          <w:szCs w:val="32"/>
        </w:rPr>
        <w:t>（</w:t>
      </w:r>
      <w:r>
        <w:rPr>
          <w:rFonts w:hint="eastAsia" w:ascii="仿宋_GB2312" w:eastAsia="仿宋_GB2312"/>
          <w:b/>
          <w:bCs/>
          <w:sz w:val="32"/>
          <w:szCs w:val="32"/>
          <w:lang w:val="en-US" w:eastAsia="zh-CN"/>
        </w:rPr>
        <w:t>三</w:t>
      </w:r>
      <w:r>
        <w:rPr>
          <w:rFonts w:hint="eastAsia" w:ascii="仿宋_GB2312" w:eastAsia="仿宋_GB2312"/>
          <w:b/>
          <w:bCs/>
          <w:sz w:val="32"/>
          <w:szCs w:val="32"/>
        </w:rPr>
        <w:t>）竹笋要求</w:t>
      </w:r>
    </w:p>
    <w:p w14:paraId="0F2BB741">
      <w:pPr>
        <w:pStyle w:val="13"/>
        <w:spacing w:after="0" w:line="560" w:lineRule="exact"/>
        <w:ind w:firstLine="640" w:firstLineChars="200"/>
        <w:rPr>
          <w:rFonts w:hint="eastAsia" w:eastAsia="仿宋_GB2312"/>
        </w:rPr>
      </w:pPr>
      <w:r>
        <w:rPr>
          <w:rFonts w:hint="eastAsia" w:eastAsia="仿宋_GB2312" w:cs="Times New Roman"/>
        </w:rPr>
        <w:t>竹笋分级要求</w:t>
      </w:r>
      <w:r>
        <w:rPr>
          <w:rFonts w:hint="eastAsia" w:eastAsia="仿宋_GB2312" w:cs="Times New Roman"/>
          <w:lang w:eastAsia="zh-CN"/>
        </w:rPr>
        <w:t>：</w:t>
      </w:r>
      <w:r>
        <w:rPr>
          <w:rFonts w:hint="eastAsia" w:eastAsia="仿宋_GB2312"/>
        </w:rPr>
        <w:t>通过实地抽样调查研究表明，不同露节数的笋高、竹笋重量、可食用重量及可食率存在显著或极显著的差异，竹笋可食率随着露节数的增加而减小，说明露节数是体现采笋时间点和提高采笋质量的一个重要指标。当露节数为2时，竹笋可食用重量达到最高，在产量和质量上均较好。作为老友粉酸笋原材料，在实际调研中发现过嫩过老的竹笋均不适合作为老友粉酸笋的原材料，一般笋尖较嫩部分（笋基径小于4cm）主要用于制作笋干、黄笋、清水笋，同时老友粉酸笋以鲜脆为最佳，过嫩不利于爆炒。麻竹笋的中下部是整个笋体最粗壮的部分，笋壁厚实，可食用的笋肉量最多，利用率最高。这个部位的笋肉纤维已经形成，但尚未完全木质化。经过发酵后，既能保持足够的爽脆度（这是老友粉酸笋的灵魂），又不会过于粗糙难嚼。笋尖过于细嫩，纤维少，水分极高。单独发酵容易过度软化、失去脆感，甚至腐烂。在大批量生产中，通常会连同中下部一起切块发酵，但占比很小，且最终口感偏软。高品质酸笋生产有时会单独处理笋尖用于特定产品（如更嫩的配菜），但并非老友粉酸笋的主体。</w:t>
      </w:r>
    </w:p>
    <w:p w14:paraId="7409226D">
      <w:pPr>
        <w:pStyle w:val="13"/>
        <w:spacing w:after="0" w:line="560" w:lineRule="exact"/>
        <w:ind w:firstLine="640" w:firstLineChars="200"/>
        <w:rPr>
          <w:rFonts w:hint="eastAsia" w:eastAsia="仿宋_GB2312" w:cs="Times New Roman"/>
        </w:rPr>
      </w:pPr>
      <w:r>
        <w:rPr>
          <w:rFonts w:hint="eastAsia" w:eastAsia="仿宋_GB2312"/>
        </w:rPr>
        <w:t>由表</w:t>
      </w:r>
      <w:r>
        <w:rPr>
          <w:rFonts w:hint="eastAsia" w:eastAsia="仿宋_GB2312"/>
          <w:lang w:val="en-US" w:eastAsia="zh-CN"/>
        </w:rPr>
        <w:t>1</w:t>
      </w:r>
      <w:r>
        <w:rPr>
          <w:rFonts w:hint="eastAsia" w:eastAsia="仿宋_GB2312"/>
        </w:rPr>
        <w:t>可</w:t>
      </w:r>
      <w:r>
        <w:rPr>
          <w:rFonts w:hint="eastAsia" w:eastAsia="仿宋_GB2312"/>
          <w:color w:val="auto"/>
        </w:rPr>
        <w:t>知，竹笋在笋高50cm</w:t>
      </w:r>
      <w:r>
        <w:rPr>
          <w:rFonts w:hint="eastAsia" w:eastAsia="仿宋_GB2312"/>
          <w:color w:val="auto"/>
          <w:lang w:eastAsia="zh-CN"/>
        </w:rPr>
        <w:t>～</w:t>
      </w:r>
      <w:r>
        <w:rPr>
          <w:rFonts w:hint="eastAsia" w:eastAsia="仿宋_GB2312"/>
          <w:color w:val="auto"/>
        </w:rPr>
        <w:t>90cm的时候，竹笋可食用部分重量及可食率方面较佳。由</w:t>
      </w:r>
      <w:r>
        <w:rPr>
          <w:rFonts w:hint="eastAsia" w:eastAsia="仿宋_GB2312"/>
        </w:rPr>
        <w:t>表</w:t>
      </w:r>
      <w:r>
        <w:rPr>
          <w:rFonts w:hint="eastAsia" w:eastAsia="仿宋_GB2312"/>
          <w:lang w:val="en-US" w:eastAsia="zh-CN"/>
        </w:rPr>
        <w:t>2</w:t>
      </w:r>
      <w:r>
        <w:rPr>
          <w:rFonts w:hint="eastAsia" w:eastAsia="仿宋_GB2312"/>
        </w:rPr>
        <w:t>可知，笋径级与可食用率并不显著，但与笋的重量和可食用笋重量有显著的关系，笋基径越大，竹笋单株产量越高。综合上述，结合实际生产应用和节约资源等要求，并参考了</w:t>
      </w:r>
      <w:r>
        <w:rPr>
          <w:rFonts w:hint="eastAsia" w:eastAsia="仿宋_GB2312" w:cs="Times New Roman"/>
        </w:rPr>
        <w:t>GB/T 30762-2014</w:t>
      </w:r>
      <w:r>
        <w:rPr>
          <w:rFonts w:hint="eastAsia" w:eastAsia="仿宋_GB2312"/>
        </w:rPr>
        <w:t>《</w:t>
      </w:r>
      <w:r>
        <w:rPr>
          <w:rFonts w:hint="eastAsia" w:eastAsia="仿宋_GB2312" w:cs="Times New Roman"/>
        </w:rPr>
        <w:t>主要竹笋质量分级</w:t>
      </w:r>
      <w:r>
        <w:rPr>
          <w:rFonts w:hint="eastAsia" w:eastAsia="仿宋_GB2312"/>
        </w:rPr>
        <w:t>》，认为</w:t>
      </w:r>
      <w:r>
        <w:rPr>
          <w:rFonts w:hint="eastAsia" w:ascii="宋体" w:hAnsi="宋体" w:cs="宋体"/>
        </w:rPr>
        <w:t>Ⅰ</w:t>
      </w:r>
      <w:r>
        <w:rPr>
          <w:rFonts w:hint="eastAsia" w:eastAsia="仿宋_GB2312"/>
        </w:rPr>
        <w:t>级笋竹笋基径大于10cm，露节数小于等于2，笋高大于50cm。</w:t>
      </w:r>
      <w:r>
        <w:rPr>
          <w:rFonts w:hint="eastAsia" w:ascii="宋体" w:hAnsi="宋体" w:cs="宋体"/>
        </w:rPr>
        <w:t>Ⅱ</w:t>
      </w:r>
      <w:r>
        <w:rPr>
          <w:rFonts w:hint="eastAsia" w:eastAsia="仿宋_GB2312"/>
        </w:rPr>
        <w:t>级竹笋基径小于10cm，露节数小于等于2，笋高在30</w:t>
      </w:r>
      <w:r>
        <w:rPr>
          <w:rFonts w:hint="eastAsia" w:eastAsia="仿宋_GB2312"/>
          <w:lang w:eastAsia="zh-CN"/>
        </w:rPr>
        <w:t>～</w:t>
      </w:r>
      <w:r>
        <w:rPr>
          <w:rFonts w:hint="eastAsia" w:eastAsia="仿宋_GB2312"/>
        </w:rPr>
        <w:t>100cm，单笋重量大于或等于500g；</w:t>
      </w:r>
      <w:r>
        <w:rPr>
          <w:rFonts w:hint="eastAsia" w:ascii="宋体" w:hAnsi="宋体" w:cs="宋体"/>
        </w:rPr>
        <w:t>Ⅲ</w:t>
      </w:r>
      <w:r>
        <w:rPr>
          <w:rFonts w:hint="eastAsia" w:eastAsia="仿宋_GB2312"/>
        </w:rPr>
        <w:t>级竹笋基径大于10cm，露节数为3或4。</w:t>
      </w:r>
      <w:r>
        <w:rPr>
          <w:rFonts w:hint="eastAsia" w:eastAsia="仿宋_GB2312" w:cs="Times New Roman"/>
        </w:rPr>
        <w:t>详见表</w:t>
      </w:r>
      <w:r>
        <w:rPr>
          <w:rFonts w:hint="eastAsia" w:eastAsia="仿宋_GB2312" w:cs="Times New Roman"/>
          <w:lang w:val="en-US" w:eastAsia="zh-CN"/>
        </w:rPr>
        <w:t>3</w:t>
      </w:r>
      <w:r>
        <w:rPr>
          <w:rFonts w:hint="eastAsia" w:eastAsia="仿宋_GB2312" w:cs="Times New Roman"/>
        </w:rPr>
        <w:t>。</w:t>
      </w:r>
    </w:p>
    <w:p w14:paraId="638D51FB">
      <w:pPr>
        <w:pStyle w:val="13"/>
        <w:spacing w:after="0" w:line="560" w:lineRule="exact"/>
        <w:ind w:firstLine="640" w:firstLineChars="200"/>
        <w:rPr>
          <w:rFonts w:hint="default" w:eastAsia="仿宋_GB2312" w:cs="Times New Roman"/>
          <w:lang w:val="en-US" w:eastAsia="zh-CN"/>
        </w:rPr>
      </w:pPr>
      <w:r>
        <w:rPr>
          <w:rFonts w:hint="eastAsia" w:eastAsia="仿宋_GB2312" w:cs="Times New Roman"/>
        </w:rPr>
        <w:t>拒绝过老过嫩</w:t>
      </w:r>
      <w:r>
        <w:rPr>
          <w:rFonts w:hint="eastAsia" w:eastAsia="仿宋_GB2312" w:cs="Times New Roman"/>
          <w:lang w:eastAsia="zh-CN"/>
        </w:rPr>
        <w:t>：</w:t>
      </w:r>
      <w:r>
        <w:rPr>
          <w:rFonts w:hint="eastAsia" w:eastAsia="仿宋_GB2312" w:cs="Times New Roman"/>
        </w:rPr>
        <w:t>过嫩</w:t>
      </w:r>
      <w:r>
        <w:rPr>
          <w:rFonts w:hint="eastAsia" w:eastAsia="仿宋_GB2312" w:cs="Times New Roman"/>
          <w:lang w:eastAsia="zh-CN"/>
        </w:rPr>
        <w:t>：</w:t>
      </w:r>
      <w:r>
        <w:rPr>
          <w:rFonts w:hint="eastAsia" w:eastAsia="仿宋_GB2312" w:cs="Times New Roman"/>
        </w:rPr>
        <w:t xml:space="preserve"> 笋体过短过细（如刚出土的“笔头笋”），肉薄且过于稚嫩，发酵后易软烂不成形，风味淡薄。过老</w:t>
      </w:r>
      <w:r>
        <w:rPr>
          <w:rFonts w:hint="eastAsia" w:eastAsia="仿宋_GB2312" w:cs="Times New Roman"/>
          <w:lang w:eastAsia="zh-CN"/>
        </w:rPr>
        <w:t>：</w:t>
      </w:r>
      <w:r>
        <w:rPr>
          <w:rFonts w:hint="eastAsia" w:eastAsia="仿宋_GB2312" w:cs="Times New Roman"/>
        </w:rPr>
        <w:t xml:space="preserve"> 笋体过长过大（特别是露出地面很高的“高脚笋”），底部纤维木质化严重，即使切除底部，中上部纤维也较粗糙，口感差，出肉率反而可能降低。</w:t>
      </w:r>
      <w:r>
        <w:rPr>
          <w:rFonts w:hint="eastAsia" w:eastAsia="仿宋_GB2312" w:cs="Times New Roman"/>
          <w:lang w:val="en-US" w:eastAsia="zh-CN"/>
        </w:rPr>
        <w:t>经与广西复记老友等沟通将竹笋长度调整到30cm</w:t>
      </w:r>
    </w:p>
    <w:p w14:paraId="47A04205">
      <w:pPr>
        <w:overflowPunct w:val="0"/>
        <w:topLinePunct/>
        <w:spacing w:line="560" w:lineRule="exact"/>
        <w:ind w:firstLine="480" w:firstLineChars="200"/>
        <w:jc w:val="center"/>
        <w:rPr>
          <w:rFonts w:eastAsia="仿宋_GB2312"/>
          <w:sz w:val="24"/>
          <w:szCs w:val="24"/>
        </w:rPr>
      </w:pPr>
      <w:r>
        <w:rPr>
          <w:rFonts w:hint="eastAsia" w:eastAsia="仿宋_GB2312"/>
          <w:sz w:val="24"/>
          <w:szCs w:val="24"/>
        </w:rPr>
        <w:t>表</w:t>
      </w:r>
      <w:r>
        <w:rPr>
          <w:rFonts w:hint="eastAsia" w:eastAsia="仿宋_GB2312"/>
          <w:sz w:val="24"/>
          <w:szCs w:val="24"/>
          <w:lang w:val="en-US" w:eastAsia="zh-CN"/>
        </w:rPr>
        <w:t>1</w:t>
      </w:r>
      <w:r>
        <w:rPr>
          <w:rFonts w:eastAsia="仿宋_GB2312"/>
          <w:sz w:val="24"/>
          <w:szCs w:val="24"/>
        </w:rPr>
        <w:t xml:space="preserve"> </w:t>
      </w:r>
      <w:r>
        <w:rPr>
          <w:rFonts w:hint="eastAsia" w:eastAsia="仿宋_GB2312"/>
          <w:sz w:val="24"/>
          <w:szCs w:val="24"/>
        </w:rPr>
        <w:t>竹笋不同露节数与笋高、笋基径及可食率的关系</w:t>
      </w:r>
    </w:p>
    <w:tbl>
      <w:tblPr>
        <w:tblStyle w:val="8"/>
        <w:tblW w:w="0" w:type="auto"/>
        <w:jc w:val="center"/>
        <w:tblLayout w:type="fixed"/>
        <w:tblCellMar>
          <w:top w:w="0" w:type="dxa"/>
          <w:left w:w="108" w:type="dxa"/>
          <w:bottom w:w="0" w:type="dxa"/>
          <w:right w:w="108" w:type="dxa"/>
        </w:tblCellMar>
      </w:tblPr>
      <w:tblGrid>
        <w:gridCol w:w="919"/>
        <w:gridCol w:w="1400"/>
        <w:gridCol w:w="1437"/>
        <w:gridCol w:w="1050"/>
        <w:gridCol w:w="1310"/>
        <w:gridCol w:w="890"/>
        <w:gridCol w:w="1013"/>
      </w:tblGrid>
      <w:tr w14:paraId="608DCE57">
        <w:tblPrEx>
          <w:tblCellMar>
            <w:top w:w="0" w:type="dxa"/>
            <w:left w:w="108" w:type="dxa"/>
            <w:bottom w:w="0" w:type="dxa"/>
            <w:right w:w="108" w:type="dxa"/>
          </w:tblCellMar>
        </w:tblPrEx>
        <w:trPr>
          <w:trHeight w:val="345" w:hRule="atLeast"/>
          <w:jc w:val="center"/>
        </w:trPr>
        <w:tc>
          <w:tcPr>
            <w:tcW w:w="919" w:type="dxa"/>
            <w:tcBorders>
              <w:top w:val="single" w:color="000000" w:sz="12" w:space="0"/>
              <w:left w:val="nil"/>
              <w:bottom w:val="single" w:color="000000" w:sz="12" w:space="0"/>
              <w:right w:val="nil"/>
            </w:tcBorders>
            <w:shd w:val="clear" w:color="auto" w:fill="auto"/>
            <w:noWrap/>
            <w:vAlign w:val="center"/>
          </w:tcPr>
          <w:p w14:paraId="7C2DEF2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露节数</w:t>
            </w:r>
          </w:p>
        </w:tc>
        <w:tc>
          <w:tcPr>
            <w:tcW w:w="1400" w:type="dxa"/>
            <w:tcBorders>
              <w:top w:val="single" w:color="000000" w:sz="12" w:space="0"/>
              <w:left w:val="nil"/>
              <w:bottom w:val="single" w:color="000000" w:sz="12" w:space="0"/>
              <w:right w:val="nil"/>
            </w:tcBorders>
            <w:shd w:val="clear" w:color="auto" w:fill="auto"/>
            <w:noWrap/>
            <w:vAlign w:val="center"/>
          </w:tcPr>
          <w:p w14:paraId="7BBB46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笋高均值/cm</w:t>
            </w:r>
          </w:p>
        </w:tc>
        <w:tc>
          <w:tcPr>
            <w:tcW w:w="1437" w:type="dxa"/>
            <w:tcBorders>
              <w:top w:val="single" w:color="000000" w:sz="12" w:space="0"/>
              <w:left w:val="nil"/>
              <w:bottom w:val="single" w:color="000000" w:sz="12" w:space="0"/>
              <w:right w:val="nil"/>
            </w:tcBorders>
            <w:shd w:val="clear" w:color="auto" w:fill="auto"/>
            <w:noWrap/>
            <w:vAlign w:val="center"/>
          </w:tcPr>
          <w:p w14:paraId="60779F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笋基径均值/cm</w:t>
            </w:r>
          </w:p>
        </w:tc>
        <w:tc>
          <w:tcPr>
            <w:tcW w:w="1050" w:type="dxa"/>
            <w:tcBorders>
              <w:top w:val="single" w:color="000000" w:sz="12" w:space="0"/>
              <w:left w:val="nil"/>
              <w:bottom w:val="single" w:color="000000" w:sz="12" w:space="0"/>
              <w:right w:val="nil"/>
            </w:tcBorders>
            <w:shd w:val="clear" w:color="auto" w:fill="auto"/>
            <w:noWrap/>
            <w:vAlign w:val="center"/>
          </w:tcPr>
          <w:p w14:paraId="7F69660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带壳重/kg</w:t>
            </w:r>
          </w:p>
        </w:tc>
        <w:tc>
          <w:tcPr>
            <w:tcW w:w="1310" w:type="dxa"/>
            <w:tcBorders>
              <w:top w:val="single" w:color="000000" w:sz="12" w:space="0"/>
              <w:left w:val="nil"/>
              <w:bottom w:val="single" w:color="000000" w:sz="12" w:space="0"/>
              <w:right w:val="nil"/>
            </w:tcBorders>
            <w:shd w:val="clear" w:color="auto" w:fill="auto"/>
            <w:noWrap/>
            <w:vAlign w:val="center"/>
          </w:tcPr>
          <w:p w14:paraId="6AE6D1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可食用重量/kg</w:t>
            </w:r>
          </w:p>
        </w:tc>
        <w:tc>
          <w:tcPr>
            <w:tcW w:w="890" w:type="dxa"/>
            <w:tcBorders>
              <w:top w:val="single" w:color="000000" w:sz="12" w:space="0"/>
              <w:left w:val="nil"/>
              <w:bottom w:val="single" w:color="000000" w:sz="12" w:space="0"/>
              <w:right w:val="nil"/>
            </w:tcBorders>
            <w:shd w:val="clear" w:color="auto" w:fill="auto"/>
            <w:noWrap/>
            <w:vAlign w:val="center"/>
          </w:tcPr>
          <w:p w14:paraId="60C105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高径比</w:t>
            </w:r>
          </w:p>
        </w:tc>
        <w:tc>
          <w:tcPr>
            <w:tcW w:w="1013" w:type="dxa"/>
            <w:tcBorders>
              <w:top w:val="single" w:color="000000" w:sz="12" w:space="0"/>
              <w:left w:val="nil"/>
              <w:bottom w:val="single" w:color="000000" w:sz="12" w:space="0"/>
              <w:right w:val="nil"/>
            </w:tcBorders>
            <w:shd w:val="clear" w:color="auto" w:fill="auto"/>
            <w:noWrap/>
            <w:vAlign w:val="center"/>
          </w:tcPr>
          <w:p w14:paraId="3FFD1AD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可食率</w:t>
            </w:r>
          </w:p>
        </w:tc>
      </w:tr>
      <w:tr w14:paraId="2C4FBE37">
        <w:tblPrEx>
          <w:tblCellMar>
            <w:top w:w="0" w:type="dxa"/>
            <w:left w:w="108" w:type="dxa"/>
            <w:bottom w:w="0" w:type="dxa"/>
            <w:right w:w="108" w:type="dxa"/>
          </w:tblCellMar>
        </w:tblPrEx>
        <w:trPr>
          <w:trHeight w:val="330" w:hRule="atLeast"/>
          <w:jc w:val="center"/>
        </w:trPr>
        <w:tc>
          <w:tcPr>
            <w:tcW w:w="919" w:type="dxa"/>
            <w:tcBorders>
              <w:top w:val="nil"/>
              <w:left w:val="nil"/>
              <w:bottom w:val="nil"/>
              <w:right w:val="nil"/>
            </w:tcBorders>
            <w:shd w:val="clear" w:color="auto" w:fill="auto"/>
            <w:noWrap/>
            <w:vAlign w:val="center"/>
          </w:tcPr>
          <w:p w14:paraId="0D9A38F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 </w:t>
            </w:r>
          </w:p>
        </w:tc>
        <w:tc>
          <w:tcPr>
            <w:tcW w:w="1400" w:type="dxa"/>
            <w:tcBorders>
              <w:top w:val="nil"/>
              <w:left w:val="nil"/>
              <w:bottom w:val="nil"/>
              <w:right w:val="nil"/>
            </w:tcBorders>
            <w:shd w:val="clear" w:color="auto" w:fill="auto"/>
            <w:noWrap/>
            <w:vAlign w:val="center"/>
          </w:tcPr>
          <w:p w14:paraId="7EDE06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86.36 </w:t>
            </w:r>
          </w:p>
        </w:tc>
        <w:tc>
          <w:tcPr>
            <w:tcW w:w="1437" w:type="dxa"/>
            <w:tcBorders>
              <w:top w:val="nil"/>
              <w:left w:val="nil"/>
              <w:bottom w:val="nil"/>
              <w:right w:val="nil"/>
            </w:tcBorders>
            <w:shd w:val="clear" w:color="auto" w:fill="auto"/>
            <w:noWrap/>
            <w:vAlign w:val="center"/>
          </w:tcPr>
          <w:p w14:paraId="144ADD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7.59</w:t>
            </w:r>
          </w:p>
        </w:tc>
        <w:tc>
          <w:tcPr>
            <w:tcW w:w="1050" w:type="dxa"/>
            <w:tcBorders>
              <w:top w:val="nil"/>
              <w:left w:val="nil"/>
              <w:bottom w:val="nil"/>
              <w:right w:val="nil"/>
            </w:tcBorders>
            <w:shd w:val="clear" w:color="auto" w:fill="auto"/>
            <w:noWrap/>
            <w:vAlign w:val="center"/>
          </w:tcPr>
          <w:p w14:paraId="526188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1.73</w:t>
            </w:r>
          </w:p>
        </w:tc>
        <w:tc>
          <w:tcPr>
            <w:tcW w:w="1310" w:type="dxa"/>
            <w:tcBorders>
              <w:top w:val="nil"/>
              <w:left w:val="nil"/>
              <w:bottom w:val="nil"/>
              <w:right w:val="nil"/>
            </w:tcBorders>
            <w:shd w:val="clear" w:color="auto" w:fill="auto"/>
            <w:noWrap/>
            <w:vAlign w:val="center"/>
          </w:tcPr>
          <w:p w14:paraId="33C47F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0.96</w:t>
            </w:r>
          </w:p>
        </w:tc>
        <w:tc>
          <w:tcPr>
            <w:tcW w:w="890" w:type="dxa"/>
            <w:tcBorders>
              <w:top w:val="nil"/>
              <w:left w:val="nil"/>
              <w:bottom w:val="nil"/>
              <w:right w:val="nil"/>
            </w:tcBorders>
            <w:shd w:val="clear" w:color="auto" w:fill="auto"/>
            <w:noWrap/>
            <w:vAlign w:val="center"/>
          </w:tcPr>
          <w:p w14:paraId="39E849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11.63 </w:t>
            </w:r>
          </w:p>
        </w:tc>
        <w:tc>
          <w:tcPr>
            <w:tcW w:w="1013" w:type="dxa"/>
            <w:tcBorders>
              <w:top w:val="nil"/>
              <w:left w:val="nil"/>
              <w:bottom w:val="nil"/>
              <w:right w:val="nil"/>
            </w:tcBorders>
            <w:shd w:val="clear" w:color="auto" w:fill="auto"/>
            <w:noWrap/>
            <w:vAlign w:val="center"/>
          </w:tcPr>
          <w:p w14:paraId="2D1D1F3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57.78</w:t>
            </w:r>
          </w:p>
        </w:tc>
      </w:tr>
      <w:tr w14:paraId="79728C92">
        <w:tblPrEx>
          <w:tblCellMar>
            <w:top w:w="0" w:type="dxa"/>
            <w:left w:w="108" w:type="dxa"/>
            <w:bottom w:w="0" w:type="dxa"/>
            <w:right w:w="108" w:type="dxa"/>
          </w:tblCellMar>
        </w:tblPrEx>
        <w:trPr>
          <w:trHeight w:val="315" w:hRule="atLeast"/>
          <w:jc w:val="center"/>
        </w:trPr>
        <w:tc>
          <w:tcPr>
            <w:tcW w:w="919" w:type="dxa"/>
            <w:tcBorders>
              <w:top w:val="nil"/>
              <w:left w:val="nil"/>
              <w:bottom w:val="nil"/>
              <w:right w:val="nil"/>
            </w:tcBorders>
            <w:shd w:val="clear" w:color="auto" w:fill="auto"/>
            <w:noWrap/>
            <w:vAlign w:val="center"/>
          </w:tcPr>
          <w:p w14:paraId="0B7698C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w:t>
            </w:r>
          </w:p>
        </w:tc>
        <w:tc>
          <w:tcPr>
            <w:tcW w:w="1400" w:type="dxa"/>
            <w:tcBorders>
              <w:top w:val="nil"/>
              <w:left w:val="nil"/>
              <w:bottom w:val="nil"/>
              <w:right w:val="nil"/>
            </w:tcBorders>
            <w:shd w:val="clear" w:color="auto" w:fill="auto"/>
            <w:noWrap/>
            <w:vAlign w:val="center"/>
          </w:tcPr>
          <w:p w14:paraId="57B4447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97.15 </w:t>
            </w:r>
          </w:p>
        </w:tc>
        <w:tc>
          <w:tcPr>
            <w:tcW w:w="1437" w:type="dxa"/>
            <w:tcBorders>
              <w:top w:val="nil"/>
              <w:left w:val="nil"/>
              <w:bottom w:val="nil"/>
              <w:right w:val="nil"/>
            </w:tcBorders>
            <w:shd w:val="clear" w:color="auto" w:fill="auto"/>
            <w:noWrap/>
            <w:vAlign w:val="center"/>
          </w:tcPr>
          <w:p w14:paraId="5A51BE8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7.41</w:t>
            </w:r>
          </w:p>
        </w:tc>
        <w:tc>
          <w:tcPr>
            <w:tcW w:w="1050" w:type="dxa"/>
            <w:tcBorders>
              <w:top w:val="nil"/>
              <w:left w:val="nil"/>
              <w:bottom w:val="nil"/>
              <w:right w:val="nil"/>
            </w:tcBorders>
            <w:shd w:val="clear" w:color="auto" w:fill="auto"/>
            <w:noWrap/>
            <w:vAlign w:val="center"/>
          </w:tcPr>
          <w:p w14:paraId="1792BB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1.98</w:t>
            </w:r>
          </w:p>
        </w:tc>
        <w:tc>
          <w:tcPr>
            <w:tcW w:w="1310" w:type="dxa"/>
            <w:tcBorders>
              <w:top w:val="nil"/>
              <w:left w:val="nil"/>
              <w:bottom w:val="nil"/>
              <w:right w:val="nil"/>
            </w:tcBorders>
            <w:shd w:val="clear" w:color="auto" w:fill="auto"/>
            <w:noWrap/>
            <w:vAlign w:val="center"/>
          </w:tcPr>
          <w:p w14:paraId="02E54D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1.01</w:t>
            </w:r>
          </w:p>
        </w:tc>
        <w:tc>
          <w:tcPr>
            <w:tcW w:w="890" w:type="dxa"/>
            <w:tcBorders>
              <w:top w:val="nil"/>
              <w:left w:val="nil"/>
              <w:bottom w:val="nil"/>
              <w:right w:val="nil"/>
            </w:tcBorders>
            <w:shd w:val="clear" w:color="auto" w:fill="auto"/>
            <w:noWrap/>
            <w:vAlign w:val="center"/>
          </w:tcPr>
          <w:p w14:paraId="6562D58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13.31 </w:t>
            </w:r>
          </w:p>
        </w:tc>
        <w:tc>
          <w:tcPr>
            <w:tcW w:w="1013" w:type="dxa"/>
            <w:tcBorders>
              <w:top w:val="nil"/>
              <w:left w:val="nil"/>
              <w:bottom w:val="nil"/>
              <w:right w:val="nil"/>
            </w:tcBorders>
            <w:shd w:val="clear" w:color="auto" w:fill="auto"/>
            <w:noWrap/>
            <w:vAlign w:val="center"/>
          </w:tcPr>
          <w:p w14:paraId="47D98B5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52.93 </w:t>
            </w:r>
          </w:p>
        </w:tc>
      </w:tr>
      <w:tr w14:paraId="446AB480">
        <w:tblPrEx>
          <w:tblCellMar>
            <w:top w:w="0" w:type="dxa"/>
            <w:left w:w="108" w:type="dxa"/>
            <w:bottom w:w="0" w:type="dxa"/>
            <w:right w:w="108" w:type="dxa"/>
          </w:tblCellMar>
        </w:tblPrEx>
        <w:trPr>
          <w:trHeight w:val="315" w:hRule="atLeast"/>
          <w:jc w:val="center"/>
        </w:trPr>
        <w:tc>
          <w:tcPr>
            <w:tcW w:w="919" w:type="dxa"/>
            <w:tcBorders>
              <w:top w:val="nil"/>
              <w:left w:val="nil"/>
              <w:bottom w:val="nil"/>
              <w:right w:val="nil"/>
            </w:tcBorders>
            <w:shd w:val="clear" w:color="auto" w:fill="auto"/>
            <w:noWrap/>
            <w:vAlign w:val="center"/>
          </w:tcPr>
          <w:p w14:paraId="546A129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2 </w:t>
            </w:r>
          </w:p>
        </w:tc>
        <w:tc>
          <w:tcPr>
            <w:tcW w:w="1400" w:type="dxa"/>
            <w:tcBorders>
              <w:top w:val="nil"/>
              <w:left w:val="nil"/>
              <w:bottom w:val="nil"/>
              <w:right w:val="nil"/>
            </w:tcBorders>
            <w:shd w:val="clear" w:color="auto" w:fill="auto"/>
            <w:noWrap/>
            <w:vAlign w:val="center"/>
          </w:tcPr>
          <w:p w14:paraId="303088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111.41</w:t>
            </w:r>
          </w:p>
        </w:tc>
        <w:tc>
          <w:tcPr>
            <w:tcW w:w="1437" w:type="dxa"/>
            <w:tcBorders>
              <w:top w:val="nil"/>
              <w:left w:val="nil"/>
              <w:bottom w:val="nil"/>
              <w:right w:val="nil"/>
            </w:tcBorders>
            <w:shd w:val="clear" w:color="auto" w:fill="auto"/>
            <w:noWrap/>
            <w:vAlign w:val="center"/>
          </w:tcPr>
          <w:p w14:paraId="25667A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7.32</w:t>
            </w:r>
          </w:p>
        </w:tc>
        <w:tc>
          <w:tcPr>
            <w:tcW w:w="1050" w:type="dxa"/>
            <w:tcBorders>
              <w:top w:val="nil"/>
              <w:left w:val="nil"/>
              <w:bottom w:val="nil"/>
              <w:right w:val="nil"/>
            </w:tcBorders>
            <w:shd w:val="clear" w:color="auto" w:fill="auto"/>
            <w:noWrap/>
            <w:vAlign w:val="center"/>
          </w:tcPr>
          <w:p w14:paraId="1B16B89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2.22</w:t>
            </w:r>
          </w:p>
        </w:tc>
        <w:tc>
          <w:tcPr>
            <w:tcW w:w="1310" w:type="dxa"/>
            <w:tcBorders>
              <w:top w:val="nil"/>
              <w:left w:val="nil"/>
              <w:bottom w:val="nil"/>
              <w:right w:val="nil"/>
            </w:tcBorders>
            <w:shd w:val="clear" w:color="auto" w:fill="auto"/>
            <w:noWrap/>
            <w:vAlign w:val="center"/>
          </w:tcPr>
          <w:p w14:paraId="732979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1.04</w:t>
            </w:r>
          </w:p>
        </w:tc>
        <w:tc>
          <w:tcPr>
            <w:tcW w:w="890" w:type="dxa"/>
            <w:tcBorders>
              <w:top w:val="nil"/>
              <w:left w:val="nil"/>
              <w:bottom w:val="nil"/>
              <w:right w:val="nil"/>
            </w:tcBorders>
            <w:shd w:val="clear" w:color="auto" w:fill="auto"/>
            <w:noWrap/>
            <w:vAlign w:val="center"/>
          </w:tcPr>
          <w:p w14:paraId="361423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15.46 </w:t>
            </w:r>
          </w:p>
        </w:tc>
        <w:tc>
          <w:tcPr>
            <w:tcW w:w="1013" w:type="dxa"/>
            <w:tcBorders>
              <w:top w:val="nil"/>
              <w:left w:val="nil"/>
              <w:bottom w:val="nil"/>
              <w:right w:val="nil"/>
            </w:tcBorders>
            <w:shd w:val="clear" w:color="auto" w:fill="auto"/>
            <w:noWrap/>
            <w:vAlign w:val="center"/>
          </w:tcPr>
          <w:p w14:paraId="3398EEF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48.89 </w:t>
            </w:r>
          </w:p>
        </w:tc>
      </w:tr>
      <w:tr w14:paraId="6E79EBBD">
        <w:tblPrEx>
          <w:tblCellMar>
            <w:top w:w="0" w:type="dxa"/>
            <w:left w:w="108" w:type="dxa"/>
            <w:bottom w:w="0" w:type="dxa"/>
            <w:right w:w="108" w:type="dxa"/>
          </w:tblCellMar>
        </w:tblPrEx>
        <w:trPr>
          <w:trHeight w:val="315" w:hRule="atLeast"/>
          <w:jc w:val="center"/>
        </w:trPr>
        <w:tc>
          <w:tcPr>
            <w:tcW w:w="919" w:type="dxa"/>
            <w:tcBorders>
              <w:top w:val="nil"/>
              <w:left w:val="nil"/>
              <w:bottom w:val="nil"/>
              <w:right w:val="nil"/>
            </w:tcBorders>
            <w:shd w:val="clear" w:color="auto" w:fill="auto"/>
            <w:noWrap/>
            <w:vAlign w:val="center"/>
          </w:tcPr>
          <w:p w14:paraId="1D01A9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 </w:t>
            </w:r>
          </w:p>
        </w:tc>
        <w:tc>
          <w:tcPr>
            <w:tcW w:w="1400" w:type="dxa"/>
            <w:tcBorders>
              <w:top w:val="nil"/>
              <w:left w:val="nil"/>
              <w:bottom w:val="nil"/>
              <w:right w:val="nil"/>
            </w:tcBorders>
            <w:shd w:val="clear" w:color="auto" w:fill="auto"/>
            <w:noWrap/>
            <w:vAlign w:val="center"/>
          </w:tcPr>
          <w:p w14:paraId="7BD02C1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123.96</w:t>
            </w:r>
          </w:p>
        </w:tc>
        <w:tc>
          <w:tcPr>
            <w:tcW w:w="1437" w:type="dxa"/>
            <w:tcBorders>
              <w:top w:val="nil"/>
              <w:left w:val="nil"/>
              <w:bottom w:val="nil"/>
              <w:right w:val="nil"/>
            </w:tcBorders>
            <w:shd w:val="clear" w:color="auto" w:fill="auto"/>
            <w:noWrap/>
            <w:vAlign w:val="center"/>
          </w:tcPr>
          <w:p w14:paraId="27CF22E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7.21</w:t>
            </w:r>
          </w:p>
        </w:tc>
        <w:tc>
          <w:tcPr>
            <w:tcW w:w="1050" w:type="dxa"/>
            <w:tcBorders>
              <w:top w:val="nil"/>
              <w:left w:val="nil"/>
              <w:bottom w:val="nil"/>
              <w:right w:val="nil"/>
            </w:tcBorders>
            <w:shd w:val="clear" w:color="auto" w:fill="auto"/>
            <w:noWrap/>
            <w:vAlign w:val="center"/>
          </w:tcPr>
          <w:p w14:paraId="57210F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2.50</w:t>
            </w:r>
          </w:p>
        </w:tc>
        <w:tc>
          <w:tcPr>
            <w:tcW w:w="1310" w:type="dxa"/>
            <w:tcBorders>
              <w:top w:val="nil"/>
              <w:left w:val="nil"/>
              <w:bottom w:val="nil"/>
              <w:right w:val="nil"/>
            </w:tcBorders>
            <w:shd w:val="clear" w:color="auto" w:fill="auto"/>
            <w:noWrap/>
            <w:vAlign w:val="center"/>
          </w:tcPr>
          <w:p w14:paraId="60CD62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1.01</w:t>
            </w:r>
          </w:p>
        </w:tc>
        <w:tc>
          <w:tcPr>
            <w:tcW w:w="890" w:type="dxa"/>
            <w:tcBorders>
              <w:top w:val="nil"/>
              <w:left w:val="nil"/>
              <w:bottom w:val="nil"/>
              <w:right w:val="nil"/>
            </w:tcBorders>
            <w:shd w:val="clear" w:color="auto" w:fill="auto"/>
            <w:noWrap/>
            <w:vAlign w:val="center"/>
          </w:tcPr>
          <w:p w14:paraId="4E8DCC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17.51 </w:t>
            </w:r>
          </w:p>
        </w:tc>
        <w:tc>
          <w:tcPr>
            <w:tcW w:w="1013" w:type="dxa"/>
            <w:tcBorders>
              <w:top w:val="nil"/>
              <w:left w:val="nil"/>
              <w:bottom w:val="nil"/>
              <w:right w:val="nil"/>
            </w:tcBorders>
            <w:shd w:val="clear" w:color="auto" w:fill="auto"/>
            <w:noWrap/>
            <w:vAlign w:val="center"/>
          </w:tcPr>
          <w:p w14:paraId="6C149BE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43.09 </w:t>
            </w:r>
          </w:p>
        </w:tc>
      </w:tr>
      <w:tr w14:paraId="20603A3B">
        <w:tblPrEx>
          <w:tblCellMar>
            <w:top w:w="0" w:type="dxa"/>
            <w:left w:w="108" w:type="dxa"/>
            <w:bottom w:w="0" w:type="dxa"/>
            <w:right w:w="108" w:type="dxa"/>
          </w:tblCellMar>
        </w:tblPrEx>
        <w:trPr>
          <w:trHeight w:val="315" w:hRule="atLeast"/>
          <w:jc w:val="center"/>
        </w:trPr>
        <w:tc>
          <w:tcPr>
            <w:tcW w:w="919" w:type="dxa"/>
            <w:tcBorders>
              <w:top w:val="nil"/>
              <w:left w:val="nil"/>
              <w:bottom w:val="nil"/>
              <w:right w:val="nil"/>
            </w:tcBorders>
            <w:shd w:val="clear" w:color="auto" w:fill="auto"/>
            <w:noWrap/>
            <w:vAlign w:val="center"/>
          </w:tcPr>
          <w:p w14:paraId="57A152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4</w:t>
            </w:r>
          </w:p>
        </w:tc>
        <w:tc>
          <w:tcPr>
            <w:tcW w:w="1400" w:type="dxa"/>
            <w:tcBorders>
              <w:top w:val="nil"/>
              <w:left w:val="nil"/>
              <w:bottom w:val="nil"/>
              <w:right w:val="nil"/>
            </w:tcBorders>
            <w:shd w:val="clear" w:color="auto" w:fill="auto"/>
            <w:noWrap/>
            <w:vAlign w:val="center"/>
          </w:tcPr>
          <w:p w14:paraId="578291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131.60</w:t>
            </w:r>
          </w:p>
        </w:tc>
        <w:tc>
          <w:tcPr>
            <w:tcW w:w="1437" w:type="dxa"/>
            <w:tcBorders>
              <w:top w:val="nil"/>
              <w:left w:val="nil"/>
              <w:bottom w:val="nil"/>
              <w:right w:val="nil"/>
            </w:tcBorders>
            <w:shd w:val="clear" w:color="auto" w:fill="auto"/>
            <w:noWrap/>
            <w:vAlign w:val="center"/>
          </w:tcPr>
          <w:p w14:paraId="7B3A82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6.64</w:t>
            </w:r>
          </w:p>
        </w:tc>
        <w:tc>
          <w:tcPr>
            <w:tcW w:w="1050" w:type="dxa"/>
            <w:tcBorders>
              <w:top w:val="nil"/>
              <w:left w:val="nil"/>
              <w:bottom w:val="nil"/>
              <w:right w:val="nil"/>
            </w:tcBorders>
            <w:shd w:val="clear" w:color="auto" w:fill="auto"/>
            <w:noWrap/>
            <w:vAlign w:val="center"/>
          </w:tcPr>
          <w:p w14:paraId="01F1A47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2.22</w:t>
            </w:r>
          </w:p>
        </w:tc>
        <w:tc>
          <w:tcPr>
            <w:tcW w:w="1310" w:type="dxa"/>
            <w:tcBorders>
              <w:top w:val="nil"/>
              <w:left w:val="nil"/>
              <w:bottom w:val="nil"/>
              <w:right w:val="nil"/>
            </w:tcBorders>
            <w:shd w:val="clear" w:color="auto" w:fill="auto"/>
            <w:noWrap/>
            <w:vAlign w:val="center"/>
          </w:tcPr>
          <w:p w14:paraId="00EABE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0.89</w:t>
            </w:r>
          </w:p>
        </w:tc>
        <w:tc>
          <w:tcPr>
            <w:tcW w:w="890" w:type="dxa"/>
            <w:tcBorders>
              <w:top w:val="nil"/>
              <w:left w:val="nil"/>
              <w:bottom w:val="nil"/>
              <w:right w:val="nil"/>
            </w:tcBorders>
            <w:shd w:val="clear" w:color="auto" w:fill="auto"/>
            <w:noWrap/>
            <w:vAlign w:val="center"/>
          </w:tcPr>
          <w:p w14:paraId="41535B9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20.07 </w:t>
            </w:r>
          </w:p>
        </w:tc>
        <w:tc>
          <w:tcPr>
            <w:tcW w:w="1013" w:type="dxa"/>
            <w:tcBorders>
              <w:top w:val="nil"/>
              <w:left w:val="nil"/>
              <w:bottom w:val="nil"/>
              <w:right w:val="nil"/>
            </w:tcBorders>
            <w:shd w:val="clear" w:color="auto" w:fill="auto"/>
            <w:noWrap/>
            <w:vAlign w:val="center"/>
          </w:tcPr>
          <w:p w14:paraId="769958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40.37 </w:t>
            </w:r>
          </w:p>
        </w:tc>
      </w:tr>
      <w:tr w14:paraId="59B5A967">
        <w:tblPrEx>
          <w:tblCellMar>
            <w:top w:w="0" w:type="dxa"/>
            <w:left w:w="108" w:type="dxa"/>
            <w:bottom w:w="0" w:type="dxa"/>
            <w:right w:w="108" w:type="dxa"/>
          </w:tblCellMar>
        </w:tblPrEx>
        <w:trPr>
          <w:trHeight w:val="330" w:hRule="atLeast"/>
          <w:jc w:val="center"/>
        </w:trPr>
        <w:tc>
          <w:tcPr>
            <w:tcW w:w="919" w:type="dxa"/>
            <w:tcBorders>
              <w:top w:val="nil"/>
              <w:left w:val="nil"/>
              <w:bottom w:val="single" w:color="000000" w:sz="12" w:space="0"/>
              <w:right w:val="nil"/>
            </w:tcBorders>
            <w:shd w:val="clear" w:color="auto" w:fill="auto"/>
            <w:noWrap/>
            <w:vAlign w:val="center"/>
          </w:tcPr>
          <w:p w14:paraId="222FF0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显著性</w:t>
            </w:r>
          </w:p>
        </w:tc>
        <w:tc>
          <w:tcPr>
            <w:tcW w:w="1400" w:type="dxa"/>
            <w:tcBorders>
              <w:top w:val="nil"/>
              <w:left w:val="nil"/>
              <w:bottom w:val="single" w:color="000000" w:sz="12" w:space="0"/>
              <w:right w:val="nil"/>
            </w:tcBorders>
            <w:shd w:val="clear" w:color="auto" w:fill="auto"/>
            <w:noWrap/>
            <w:vAlign w:val="center"/>
          </w:tcPr>
          <w:p w14:paraId="1930550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0.00 </w:t>
            </w:r>
          </w:p>
        </w:tc>
        <w:tc>
          <w:tcPr>
            <w:tcW w:w="1437" w:type="dxa"/>
            <w:tcBorders>
              <w:top w:val="nil"/>
              <w:left w:val="nil"/>
              <w:bottom w:val="single" w:color="000000" w:sz="12" w:space="0"/>
              <w:right w:val="nil"/>
            </w:tcBorders>
            <w:shd w:val="clear" w:color="auto" w:fill="auto"/>
            <w:noWrap/>
            <w:vAlign w:val="center"/>
          </w:tcPr>
          <w:p w14:paraId="0D8386C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0.12 </w:t>
            </w:r>
          </w:p>
        </w:tc>
        <w:tc>
          <w:tcPr>
            <w:tcW w:w="1050" w:type="dxa"/>
            <w:tcBorders>
              <w:top w:val="nil"/>
              <w:left w:val="nil"/>
              <w:bottom w:val="single" w:color="000000" w:sz="12" w:space="0"/>
              <w:right w:val="nil"/>
            </w:tcBorders>
            <w:shd w:val="clear" w:color="auto" w:fill="auto"/>
            <w:noWrap/>
            <w:vAlign w:val="center"/>
          </w:tcPr>
          <w:p w14:paraId="4D086A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0.00 </w:t>
            </w:r>
          </w:p>
        </w:tc>
        <w:tc>
          <w:tcPr>
            <w:tcW w:w="1310" w:type="dxa"/>
            <w:tcBorders>
              <w:top w:val="nil"/>
              <w:left w:val="nil"/>
              <w:bottom w:val="single" w:color="000000" w:sz="12" w:space="0"/>
              <w:right w:val="nil"/>
            </w:tcBorders>
            <w:shd w:val="clear" w:color="auto" w:fill="auto"/>
            <w:noWrap/>
            <w:vAlign w:val="center"/>
          </w:tcPr>
          <w:p w14:paraId="0DCEE0A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0.02 </w:t>
            </w:r>
          </w:p>
        </w:tc>
        <w:tc>
          <w:tcPr>
            <w:tcW w:w="890" w:type="dxa"/>
            <w:tcBorders>
              <w:top w:val="nil"/>
              <w:left w:val="nil"/>
              <w:bottom w:val="single" w:color="000000" w:sz="12" w:space="0"/>
              <w:right w:val="nil"/>
            </w:tcBorders>
            <w:shd w:val="clear" w:color="auto" w:fill="auto"/>
            <w:noWrap/>
            <w:vAlign w:val="center"/>
          </w:tcPr>
          <w:p w14:paraId="7717CE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0.00 </w:t>
            </w:r>
          </w:p>
        </w:tc>
        <w:tc>
          <w:tcPr>
            <w:tcW w:w="1013" w:type="dxa"/>
            <w:tcBorders>
              <w:top w:val="nil"/>
              <w:left w:val="nil"/>
              <w:bottom w:val="single" w:color="000000" w:sz="12" w:space="0"/>
              <w:right w:val="nil"/>
            </w:tcBorders>
            <w:shd w:val="clear" w:color="auto" w:fill="auto"/>
            <w:noWrap/>
            <w:vAlign w:val="center"/>
          </w:tcPr>
          <w:p w14:paraId="62F6B6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0.00 </w:t>
            </w:r>
          </w:p>
        </w:tc>
      </w:tr>
    </w:tbl>
    <w:p w14:paraId="2BF2D524">
      <w:pPr>
        <w:overflowPunct w:val="0"/>
        <w:topLinePunct/>
        <w:spacing w:line="560" w:lineRule="exact"/>
        <w:jc w:val="center"/>
        <w:rPr>
          <w:rFonts w:eastAsia="仿宋_GB2312"/>
          <w:sz w:val="24"/>
          <w:szCs w:val="24"/>
        </w:rPr>
      </w:pPr>
      <w:r>
        <w:rPr>
          <w:rFonts w:hint="eastAsia" w:eastAsia="仿宋_GB2312"/>
          <w:sz w:val="24"/>
          <w:szCs w:val="24"/>
        </w:rPr>
        <w:t>表</w:t>
      </w:r>
      <w:r>
        <w:rPr>
          <w:rFonts w:hint="eastAsia" w:eastAsia="仿宋_GB2312"/>
          <w:sz w:val="24"/>
          <w:szCs w:val="24"/>
          <w:lang w:val="en-US" w:eastAsia="zh-CN"/>
        </w:rPr>
        <w:t>2</w:t>
      </w:r>
      <w:r>
        <w:rPr>
          <w:rFonts w:hint="eastAsia" w:eastAsia="仿宋_GB2312"/>
          <w:sz w:val="24"/>
          <w:szCs w:val="24"/>
        </w:rPr>
        <w:t>不同竹种不同笋高等级与笋径、重量及可食率等的关系</w:t>
      </w:r>
    </w:p>
    <w:tbl>
      <w:tblPr>
        <w:tblStyle w:val="8"/>
        <w:tblW w:w="0" w:type="auto"/>
        <w:jc w:val="center"/>
        <w:tblLayout w:type="autofit"/>
        <w:tblCellMar>
          <w:top w:w="0" w:type="dxa"/>
          <w:left w:w="108" w:type="dxa"/>
          <w:bottom w:w="0" w:type="dxa"/>
          <w:right w:w="108" w:type="dxa"/>
        </w:tblCellMar>
      </w:tblPr>
      <w:tblGrid>
        <w:gridCol w:w="856"/>
        <w:gridCol w:w="1096"/>
        <w:gridCol w:w="1096"/>
        <w:gridCol w:w="1256"/>
        <w:gridCol w:w="1416"/>
        <w:gridCol w:w="1416"/>
        <w:gridCol w:w="1016"/>
      </w:tblGrid>
      <w:tr w14:paraId="01FAC9EA">
        <w:tblPrEx>
          <w:tblCellMar>
            <w:top w:w="0" w:type="dxa"/>
            <w:left w:w="108" w:type="dxa"/>
            <w:bottom w:w="0" w:type="dxa"/>
            <w:right w:w="108" w:type="dxa"/>
          </w:tblCellMar>
        </w:tblPrEx>
        <w:trPr>
          <w:trHeight w:val="345" w:hRule="atLeast"/>
          <w:tblHeader/>
          <w:jc w:val="center"/>
        </w:trPr>
        <w:tc>
          <w:tcPr>
            <w:tcW w:w="0" w:type="auto"/>
            <w:tcBorders>
              <w:top w:val="single" w:color="000000" w:sz="12" w:space="0"/>
              <w:left w:val="nil"/>
              <w:bottom w:val="single" w:color="000000" w:sz="12" w:space="0"/>
              <w:right w:val="nil"/>
            </w:tcBorders>
            <w:shd w:val="clear" w:color="auto" w:fill="auto"/>
            <w:noWrap/>
            <w:vAlign w:val="center"/>
          </w:tcPr>
          <w:p w14:paraId="6250C63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竹种</w:t>
            </w:r>
          </w:p>
        </w:tc>
        <w:tc>
          <w:tcPr>
            <w:tcW w:w="0" w:type="auto"/>
            <w:tcBorders>
              <w:top w:val="single" w:color="000000" w:sz="12" w:space="0"/>
              <w:left w:val="nil"/>
              <w:bottom w:val="single" w:color="000000" w:sz="12" w:space="0"/>
              <w:right w:val="nil"/>
            </w:tcBorders>
            <w:shd w:val="clear" w:color="auto" w:fill="auto"/>
            <w:noWrap/>
            <w:vAlign w:val="center"/>
          </w:tcPr>
          <w:p w14:paraId="7B8A94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笋高等级/cm</w:t>
            </w:r>
          </w:p>
        </w:tc>
        <w:tc>
          <w:tcPr>
            <w:tcW w:w="0" w:type="auto"/>
            <w:tcBorders>
              <w:top w:val="single" w:color="000000" w:sz="12" w:space="0"/>
              <w:left w:val="nil"/>
              <w:bottom w:val="single" w:color="000000" w:sz="12" w:space="0"/>
              <w:right w:val="nil"/>
            </w:tcBorders>
            <w:shd w:val="clear" w:color="auto" w:fill="auto"/>
            <w:noWrap/>
            <w:vAlign w:val="center"/>
          </w:tcPr>
          <w:p w14:paraId="40A7943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笋高均值/cm</w:t>
            </w:r>
          </w:p>
        </w:tc>
        <w:tc>
          <w:tcPr>
            <w:tcW w:w="0" w:type="auto"/>
            <w:tcBorders>
              <w:top w:val="single" w:color="000000" w:sz="12" w:space="0"/>
              <w:left w:val="nil"/>
              <w:bottom w:val="single" w:color="000000" w:sz="12" w:space="0"/>
              <w:right w:val="nil"/>
            </w:tcBorders>
            <w:shd w:val="clear" w:color="auto" w:fill="auto"/>
            <w:noWrap/>
            <w:vAlign w:val="center"/>
          </w:tcPr>
          <w:p w14:paraId="07113C4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笋基径均值/cm</w:t>
            </w:r>
          </w:p>
        </w:tc>
        <w:tc>
          <w:tcPr>
            <w:tcW w:w="0" w:type="auto"/>
            <w:tcBorders>
              <w:top w:val="single" w:color="000000" w:sz="12" w:space="0"/>
              <w:left w:val="nil"/>
              <w:bottom w:val="single" w:color="000000" w:sz="12" w:space="0"/>
              <w:right w:val="nil"/>
            </w:tcBorders>
            <w:shd w:val="clear" w:color="auto" w:fill="auto"/>
            <w:noWrap/>
            <w:vAlign w:val="center"/>
          </w:tcPr>
          <w:p w14:paraId="1FAC39A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带皮笋重均值/kg</w:t>
            </w:r>
          </w:p>
        </w:tc>
        <w:tc>
          <w:tcPr>
            <w:tcW w:w="0" w:type="auto"/>
            <w:tcBorders>
              <w:top w:val="single" w:color="000000" w:sz="12" w:space="0"/>
              <w:left w:val="nil"/>
              <w:bottom w:val="single" w:color="000000" w:sz="12" w:space="0"/>
              <w:right w:val="nil"/>
            </w:tcBorders>
            <w:shd w:val="clear" w:color="auto" w:fill="auto"/>
            <w:noWrap/>
            <w:vAlign w:val="center"/>
          </w:tcPr>
          <w:p w14:paraId="66C652B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可食用重均值/kg</w:t>
            </w:r>
          </w:p>
        </w:tc>
        <w:tc>
          <w:tcPr>
            <w:tcW w:w="0" w:type="auto"/>
            <w:tcBorders>
              <w:top w:val="single" w:color="000000" w:sz="12" w:space="0"/>
              <w:left w:val="nil"/>
              <w:bottom w:val="single" w:color="000000" w:sz="12" w:space="0"/>
              <w:right w:val="nil"/>
            </w:tcBorders>
            <w:shd w:val="clear" w:color="auto" w:fill="auto"/>
            <w:noWrap/>
            <w:vAlign w:val="center"/>
          </w:tcPr>
          <w:p w14:paraId="2F9681B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可食用率/%</w:t>
            </w:r>
          </w:p>
        </w:tc>
      </w:tr>
      <w:tr w14:paraId="4D251B86">
        <w:tblPrEx>
          <w:tblCellMar>
            <w:top w:w="0" w:type="dxa"/>
            <w:left w:w="108" w:type="dxa"/>
            <w:bottom w:w="0" w:type="dxa"/>
            <w:right w:w="108" w:type="dxa"/>
          </w:tblCellMar>
        </w:tblPrEx>
        <w:trPr>
          <w:trHeight w:val="90" w:hRule="atLeast"/>
          <w:jc w:val="center"/>
        </w:trPr>
        <w:tc>
          <w:tcPr>
            <w:tcW w:w="0" w:type="auto"/>
            <w:vMerge w:val="restart"/>
            <w:tcBorders>
              <w:top w:val="nil"/>
              <w:left w:val="nil"/>
              <w:bottom w:val="nil"/>
              <w:right w:val="nil"/>
            </w:tcBorders>
            <w:shd w:val="clear" w:color="auto" w:fill="auto"/>
            <w:noWrap/>
            <w:vAlign w:val="center"/>
          </w:tcPr>
          <w:p w14:paraId="4D1CF09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麻竹</w:t>
            </w:r>
          </w:p>
        </w:tc>
        <w:tc>
          <w:tcPr>
            <w:tcW w:w="0" w:type="auto"/>
            <w:tcBorders>
              <w:top w:val="nil"/>
              <w:left w:val="nil"/>
              <w:bottom w:val="nil"/>
              <w:right w:val="nil"/>
            </w:tcBorders>
            <w:shd w:val="clear" w:color="auto" w:fill="auto"/>
            <w:noWrap/>
            <w:vAlign w:val="center"/>
          </w:tcPr>
          <w:p w14:paraId="6B26F0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30</w:t>
            </w:r>
          </w:p>
        </w:tc>
        <w:tc>
          <w:tcPr>
            <w:tcW w:w="0" w:type="auto"/>
            <w:tcBorders>
              <w:top w:val="nil"/>
              <w:left w:val="nil"/>
              <w:bottom w:val="nil"/>
              <w:right w:val="nil"/>
            </w:tcBorders>
            <w:shd w:val="clear" w:color="auto" w:fill="auto"/>
            <w:noWrap/>
            <w:vAlign w:val="center"/>
          </w:tcPr>
          <w:p w14:paraId="69C9693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26.94 </w:t>
            </w:r>
          </w:p>
        </w:tc>
        <w:tc>
          <w:tcPr>
            <w:tcW w:w="0" w:type="auto"/>
            <w:tcBorders>
              <w:top w:val="nil"/>
              <w:left w:val="nil"/>
              <w:bottom w:val="nil"/>
              <w:right w:val="nil"/>
            </w:tcBorders>
            <w:shd w:val="clear" w:color="auto" w:fill="auto"/>
            <w:noWrap/>
            <w:vAlign w:val="center"/>
          </w:tcPr>
          <w:p w14:paraId="376B673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11.32 </w:t>
            </w:r>
          </w:p>
        </w:tc>
        <w:tc>
          <w:tcPr>
            <w:tcW w:w="0" w:type="auto"/>
            <w:tcBorders>
              <w:top w:val="nil"/>
              <w:left w:val="nil"/>
              <w:bottom w:val="nil"/>
              <w:right w:val="nil"/>
            </w:tcBorders>
            <w:shd w:val="clear" w:color="auto" w:fill="auto"/>
            <w:noWrap/>
            <w:vAlign w:val="center"/>
          </w:tcPr>
          <w:p w14:paraId="730B40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1.35 </w:t>
            </w:r>
          </w:p>
        </w:tc>
        <w:tc>
          <w:tcPr>
            <w:tcW w:w="0" w:type="auto"/>
            <w:tcBorders>
              <w:top w:val="nil"/>
              <w:left w:val="nil"/>
              <w:bottom w:val="nil"/>
              <w:right w:val="nil"/>
            </w:tcBorders>
            <w:shd w:val="clear" w:color="auto" w:fill="auto"/>
            <w:noWrap/>
            <w:vAlign w:val="center"/>
          </w:tcPr>
          <w:p w14:paraId="773E81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0.63 </w:t>
            </w:r>
          </w:p>
        </w:tc>
        <w:tc>
          <w:tcPr>
            <w:tcW w:w="0" w:type="auto"/>
            <w:tcBorders>
              <w:top w:val="nil"/>
              <w:left w:val="nil"/>
              <w:bottom w:val="nil"/>
              <w:right w:val="nil"/>
            </w:tcBorders>
            <w:shd w:val="clear" w:color="auto" w:fill="auto"/>
            <w:noWrap/>
            <w:vAlign w:val="center"/>
          </w:tcPr>
          <w:p w14:paraId="568F145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46.30 </w:t>
            </w:r>
          </w:p>
        </w:tc>
      </w:tr>
      <w:tr w14:paraId="68F974AF">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0157A67C">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nil"/>
              <w:right w:val="nil"/>
            </w:tcBorders>
            <w:shd w:val="clear" w:color="auto" w:fill="auto"/>
            <w:noWrap/>
            <w:vAlign w:val="center"/>
          </w:tcPr>
          <w:p w14:paraId="03D003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40</w:t>
            </w:r>
          </w:p>
        </w:tc>
        <w:tc>
          <w:tcPr>
            <w:tcW w:w="0" w:type="auto"/>
            <w:tcBorders>
              <w:top w:val="nil"/>
              <w:left w:val="nil"/>
              <w:bottom w:val="nil"/>
              <w:right w:val="nil"/>
            </w:tcBorders>
            <w:shd w:val="clear" w:color="auto" w:fill="auto"/>
            <w:noWrap/>
            <w:vAlign w:val="center"/>
          </w:tcPr>
          <w:p w14:paraId="73875A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34.59 </w:t>
            </w:r>
          </w:p>
        </w:tc>
        <w:tc>
          <w:tcPr>
            <w:tcW w:w="0" w:type="auto"/>
            <w:tcBorders>
              <w:top w:val="nil"/>
              <w:left w:val="nil"/>
              <w:bottom w:val="nil"/>
              <w:right w:val="nil"/>
            </w:tcBorders>
            <w:shd w:val="clear" w:color="auto" w:fill="auto"/>
            <w:noWrap/>
            <w:vAlign w:val="center"/>
          </w:tcPr>
          <w:p w14:paraId="62FDAD0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11.13 </w:t>
            </w:r>
          </w:p>
        </w:tc>
        <w:tc>
          <w:tcPr>
            <w:tcW w:w="0" w:type="auto"/>
            <w:tcBorders>
              <w:top w:val="nil"/>
              <w:left w:val="nil"/>
              <w:bottom w:val="nil"/>
              <w:right w:val="nil"/>
            </w:tcBorders>
            <w:shd w:val="clear" w:color="auto" w:fill="auto"/>
            <w:noWrap/>
            <w:vAlign w:val="center"/>
          </w:tcPr>
          <w:p w14:paraId="58FA020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1.55 </w:t>
            </w:r>
          </w:p>
        </w:tc>
        <w:tc>
          <w:tcPr>
            <w:tcW w:w="0" w:type="auto"/>
            <w:tcBorders>
              <w:top w:val="nil"/>
              <w:left w:val="nil"/>
              <w:bottom w:val="nil"/>
              <w:right w:val="nil"/>
            </w:tcBorders>
            <w:shd w:val="clear" w:color="auto" w:fill="auto"/>
            <w:noWrap/>
            <w:vAlign w:val="center"/>
          </w:tcPr>
          <w:p w14:paraId="1778FFC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0.71 </w:t>
            </w:r>
          </w:p>
        </w:tc>
        <w:tc>
          <w:tcPr>
            <w:tcW w:w="0" w:type="auto"/>
            <w:tcBorders>
              <w:top w:val="nil"/>
              <w:left w:val="nil"/>
              <w:bottom w:val="nil"/>
              <w:right w:val="nil"/>
            </w:tcBorders>
            <w:shd w:val="clear" w:color="auto" w:fill="auto"/>
            <w:noWrap/>
            <w:vAlign w:val="center"/>
          </w:tcPr>
          <w:p w14:paraId="1FD00D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45.64 </w:t>
            </w:r>
          </w:p>
        </w:tc>
      </w:tr>
      <w:tr w14:paraId="51C18FDB">
        <w:tblPrEx>
          <w:tblCellMar>
            <w:top w:w="0" w:type="dxa"/>
            <w:left w:w="108" w:type="dxa"/>
            <w:bottom w:w="0" w:type="dxa"/>
            <w:right w:w="108" w:type="dxa"/>
          </w:tblCellMar>
        </w:tblPrEx>
        <w:trPr>
          <w:trHeight w:val="315" w:hRule="atLeast"/>
          <w:jc w:val="center"/>
        </w:trPr>
        <w:tc>
          <w:tcPr>
            <w:tcW w:w="0" w:type="auto"/>
            <w:vMerge w:val="continue"/>
            <w:tcBorders>
              <w:top w:val="nil"/>
              <w:left w:val="nil"/>
              <w:bottom w:val="nil"/>
              <w:right w:val="nil"/>
            </w:tcBorders>
            <w:shd w:val="clear" w:color="auto" w:fill="auto"/>
            <w:noWrap/>
            <w:vAlign w:val="center"/>
          </w:tcPr>
          <w:p w14:paraId="0B023768">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nil"/>
              <w:right w:val="nil"/>
            </w:tcBorders>
            <w:shd w:val="clear" w:color="auto" w:fill="auto"/>
            <w:noWrap/>
            <w:vAlign w:val="center"/>
          </w:tcPr>
          <w:p w14:paraId="7D3B61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50</w:t>
            </w:r>
          </w:p>
        </w:tc>
        <w:tc>
          <w:tcPr>
            <w:tcW w:w="0" w:type="auto"/>
            <w:tcBorders>
              <w:top w:val="nil"/>
              <w:left w:val="nil"/>
              <w:bottom w:val="nil"/>
              <w:right w:val="nil"/>
            </w:tcBorders>
            <w:shd w:val="clear" w:color="auto" w:fill="auto"/>
            <w:noWrap/>
            <w:vAlign w:val="center"/>
          </w:tcPr>
          <w:p w14:paraId="2A2BEB6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44.56 </w:t>
            </w:r>
          </w:p>
        </w:tc>
        <w:tc>
          <w:tcPr>
            <w:tcW w:w="0" w:type="auto"/>
            <w:tcBorders>
              <w:top w:val="nil"/>
              <w:left w:val="nil"/>
              <w:bottom w:val="nil"/>
              <w:right w:val="nil"/>
            </w:tcBorders>
            <w:shd w:val="clear" w:color="auto" w:fill="auto"/>
            <w:noWrap/>
            <w:vAlign w:val="center"/>
          </w:tcPr>
          <w:p w14:paraId="3435E9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12.30 </w:t>
            </w:r>
          </w:p>
        </w:tc>
        <w:tc>
          <w:tcPr>
            <w:tcW w:w="0" w:type="auto"/>
            <w:tcBorders>
              <w:top w:val="nil"/>
              <w:left w:val="nil"/>
              <w:bottom w:val="nil"/>
              <w:right w:val="nil"/>
            </w:tcBorders>
            <w:shd w:val="clear" w:color="auto" w:fill="auto"/>
            <w:noWrap/>
            <w:vAlign w:val="center"/>
          </w:tcPr>
          <w:p w14:paraId="534336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2.10 </w:t>
            </w:r>
          </w:p>
        </w:tc>
        <w:tc>
          <w:tcPr>
            <w:tcW w:w="0" w:type="auto"/>
            <w:tcBorders>
              <w:top w:val="nil"/>
              <w:left w:val="nil"/>
              <w:bottom w:val="nil"/>
              <w:right w:val="nil"/>
            </w:tcBorders>
            <w:shd w:val="clear" w:color="auto" w:fill="auto"/>
            <w:noWrap/>
            <w:vAlign w:val="center"/>
          </w:tcPr>
          <w:p w14:paraId="208160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1.01 </w:t>
            </w:r>
          </w:p>
        </w:tc>
        <w:tc>
          <w:tcPr>
            <w:tcW w:w="0" w:type="auto"/>
            <w:tcBorders>
              <w:top w:val="nil"/>
              <w:left w:val="nil"/>
              <w:bottom w:val="nil"/>
              <w:right w:val="nil"/>
            </w:tcBorders>
            <w:shd w:val="clear" w:color="auto" w:fill="auto"/>
            <w:noWrap/>
            <w:vAlign w:val="center"/>
          </w:tcPr>
          <w:p w14:paraId="4AE7E3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47.04 </w:t>
            </w:r>
          </w:p>
        </w:tc>
      </w:tr>
      <w:tr w14:paraId="0B2B8307">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33BE43EF">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nil"/>
              <w:right w:val="nil"/>
            </w:tcBorders>
            <w:shd w:val="clear" w:color="auto" w:fill="auto"/>
            <w:noWrap/>
            <w:vAlign w:val="center"/>
          </w:tcPr>
          <w:p w14:paraId="536CCE0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60</w:t>
            </w:r>
          </w:p>
        </w:tc>
        <w:tc>
          <w:tcPr>
            <w:tcW w:w="0" w:type="auto"/>
            <w:tcBorders>
              <w:top w:val="nil"/>
              <w:left w:val="nil"/>
              <w:bottom w:val="nil"/>
              <w:right w:val="nil"/>
            </w:tcBorders>
            <w:shd w:val="clear" w:color="auto" w:fill="auto"/>
            <w:noWrap/>
            <w:vAlign w:val="center"/>
          </w:tcPr>
          <w:p w14:paraId="74909E1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54.05 </w:t>
            </w:r>
          </w:p>
        </w:tc>
        <w:tc>
          <w:tcPr>
            <w:tcW w:w="0" w:type="auto"/>
            <w:tcBorders>
              <w:top w:val="nil"/>
              <w:left w:val="nil"/>
              <w:bottom w:val="nil"/>
              <w:right w:val="nil"/>
            </w:tcBorders>
            <w:shd w:val="clear" w:color="auto" w:fill="auto"/>
            <w:noWrap/>
            <w:vAlign w:val="center"/>
          </w:tcPr>
          <w:p w14:paraId="40A12D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13.08 </w:t>
            </w:r>
          </w:p>
        </w:tc>
        <w:tc>
          <w:tcPr>
            <w:tcW w:w="0" w:type="auto"/>
            <w:tcBorders>
              <w:top w:val="nil"/>
              <w:left w:val="nil"/>
              <w:bottom w:val="nil"/>
              <w:right w:val="nil"/>
            </w:tcBorders>
            <w:shd w:val="clear" w:color="auto" w:fill="auto"/>
            <w:noWrap/>
            <w:vAlign w:val="center"/>
          </w:tcPr>
          <w:p w14:paraId="668E25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2.77 </w:t>
            </w:r>
          </w:p>
        </w:tc>
        <w:tc>
          <w:tcPr>
            <w:tcW w:w="0" w:type="auto"/>
            <w:tcBorders>
              <w:top w:val="nil"/>
              <w:left w:val="nil"/>
              <w:bottom w:val="nil"/>
              <w:right w:val="nil"/>
            </w:tcBorders>
            <w:shd w:val="clear" w:color="auto" w:fill="auto"/>
            <w:noWrap/>
            <w:vAlign w:val="center"/>
          </w:tcPr>
          <w:p w14:paraId="79A452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1.33 </w:t>
            </w:r>
          </w:p>
        </w:tc>
        <w:tc>
          <w:tcPr>
            <w:tcW w:w="0" w:type="auto"/>
            <w:tcBorders>
              <w:top w:val="nil"/>
              <w:left w:val="nil"/>
              <w:bottom w:val="nil"/>
              <w:right w:val="nil"/>
            </w:tcBorders>
            <w:shd w:val="clear" w:color="auto" w:fill="auto"/>
            <w:noWrap/>
            <w:vAlign w:val="center"/>
          </w:tcPr>
          <w:p w14:paraId="617CAB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47.58 </w:t>
            </w:r>
          </w:p>
        </w:tc>
      </w:tr>
      <w:tr w14:paraId="0133715D">
        <w:tblPrEx>
          <w:tblCellMar>
            <w:top w:w="0" w:type="dxa"/>
            <w:left w:w="108" w:type="dxa"/>
            <w:bottom w:w="0" w:type="dxa"/>
            <w:right w:w="108" w:type="dxa"/>
          </w:tblCellMar>
        </w:tblPrEx>
        <w:trPr>
          <w:trHeight w:val="315" w:hRule="atLeast"/>
          <w:jc w:val="center"/>
        </w:trPr>
        <w:tc>
          <w:tcPr>
            <w:tcW w:w="0" w:type="auto"/>
            <w:vMerge w:val="continue"/>
            <w:tcBorders>
              <w:top w:val="nil"/>
              <w:left w:val="nil"/>
              <w:bottom w:val="nil"/>
              <w:right w:val="nil"/>
            </w:tcBorders>
            <w:shd w:val="clear" w:color="auto" w:fill="auto"/>
            <w:noWrap/>
            <w:vAlign w:val="center"/>
          </w:tcPr>
          <w:p w14:paraId="7251FBA1">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nil"/>
              <w:right w:val="nil"/>
            </w:tcBorders>
            <w:shd w:val="clear" w:color="auto" w:fill="auto"/>
            <w:noWrap/>
            <w:vAlign w:val="center"/>
          </w:tcPr>
          <w:p w14:paraId="515169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70</w:t>
            </w:r>
          </w:p>
        </w:tc>
        <w:tc>
          <w:tcPr>
            <w:tcW w:w="0" w:type="auto"/>
            <w:tcBorders>
              <w:top w:val="nil"/>
              <w:left w:val="nil"/>
              <w:bottom w:val="nil"/>
              <w:right w:val="nil"/>
            </w:tcBorders>
            <w:shd w:val="clear" w:color="auto" w:fill="auto"/>
            <w:noWrap/>
            <w:vAlign w:val="center"/>
          </w:tcPr>
          <w:p w14:paraId="42237CF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64.30 </w:t>
            </w:r>
          </w:p>
        </w:tc>
        <w:tc>
          <w:tcPr>
            <w:tcW w:w="0" w:type="auto"/>
            <w:tcBorders>
              <w:top w:val="nil"/>
              <w:left w:val="nil"/>
              <w:bottom w:val="nil"/>
              <w:right w:val="nil"/>
            </w:tcBorders>
            <w:shd w:val="clear" w:color="auto" w:fill="auto"/>
            <w:noWrap/>
            <w:vAlign w:val="center"/>
          </w:tcPr>
          <w:p w14:paraId="40FB08D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12.51 </w:t>
            </w:r>
          </w:p>
        </w:tc>
        <w:tc>
          <w:tcPr>
            <w:tcW w:w="0" w:type="auto"/>
            <w:tcBorders>
              <w:top w:val="nil"/>
              <w:left w:val="nil"/>
              <w:bottom w:val="nil"/>
              <w:right w:val="nil"/>
            </w:tcBorders>
            <w:shd w:val="clear" w:color="auto" w:fill="auto"/>
            <w:noWrap/>
            <w:vAlign w:val="center"/>
          </w:tcPr>
          <w:p w14:paraId="0666251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2.86 </w:t>
            </w:r>
          </w:p>
        </w:tc>
        <w:tc>
          <w:tcPr>
            <w:tcW w:w="0" w:type="auto"/>
            <w:tcBorders>
              <w:top w:val="nil"/>
              <w:left w:val="nil"/>
              <w:bottom w:val="nil"/>
              <w:right w:val="nil"/>
            </w:tcBorders>
            <w:shd w:val="clear" w:color="auto" w:fill="auto"/>
            <w:noWrap/>
            <w:vAlign w:val="center"/>
          </w:tcPr>
          <w:p w14:paraId="7ADBD97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1.30 </w:t>
            </w:r>
          </w:p>
        </w:tc>
        <w:tc>
          <w:tcPr>
            <w:tcW w:w="0" w:type="auto"/>
            <w:tcBorders>
              <w:top w:val="nil"/>
              <w:left w:val="nil"/>
              <w:bottom w:val="nil"/>
              <w:right w:val="nil"/>
            </w:tcBorders>
            <w:shd w:val="clear" w:color="auto" w:fill="auto"/>
            <w:noWrap/>
            <w:vAlign w:val="center"/>
          </w:tcPr>
          <w:p w14:paraId="797005A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44.54 </w:t>
            </w:r>
          </w:p>
        </w:tc>
      </w:tr>
      <w:tr w14:paraId="1AC9A488">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53B46EE9">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nil"/>
              <w:right w:val="nil"/>
            </w:tcBorders>
            <w:shd w:val="clear" w:color="auto" w:fill="auto"/>
            <w:noWrap/>
            <w:vAlign w:val="center"/>
          </w:tcPr>
          <w:p w14:paraId="4037D9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80</w:t>
            </w:r>
          </w:p>
        </w:tc>
        <w:tc>
          <w:tcPr>
            <w:tcW w:w="0" w:type="auto"/>
            <w:tcBorders>
              <w:top w:val="nil"/>
              <w:left w:val="nil"/>
              <w:bottom w:val="nil"/>
              <w:right w:val="nil"/>
            </w:tcBorders>
            <w:shd w:val="clear" w:color="auto" w:fill="auto"/>
            <w:noWrap/>
            <w:vAlign w:val="center"/>
          </w:tcPr>
          <w:p w14:paraId="346AF3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75.07 </w:t>
            </w:r>
          </w:p>
        </w:tc>
        <w:tc>
          <w:tcPr>
            <w:tcW w:w="0" w:type="auto"/>
            <w:tcBorders>
              <w:top w:val="nil"/>
              <w:left w:val="nil"/>
              <w:bottom w:val="nil"/>
              <w:right w:val="nil"/>
            </w:tcBorders>
            <w:shd w:val="clear" w:color="auto" w:fill="auto"/>
            <w:noWrap/>
            <w:vAlign w:val="center"/>
          </w:tcPr>
          <w:p w14:paraId="31D312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12.85 </w:t>
            </w:r>
          </w:p>
        </w:tc>
        <w:tc>
          <w:tcPr>
            <w:tcW w:w="0" w:type="auto"/>
            <w:tcBorders>
              <w:top w:val="nil"/>
              <w:left w:val="nil"/>
              <w:bottom w:val="nil"/>
              <w:right w:val="nil"/>
            </w:tcBorders>
            <w:shd w:val="clear" w:color="auto" w:fill="auto"/>
            <w:noWrap/>
            <w:vAlign w:val="center"/>
          </w:tcPr>
          <w:p w14:paraId="41AEE0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3.59 </w:t>
            </w:r>
          </w:p>
        </w:tc>
        <w:tc>
          <w:tcPr>
            <w:tcW w:w="0" w:type="auto"/>
            <w:tcBorders>
              <w:top w:val="nil"/>
              <w:left w:val="nil"/>
              <w:bottom w:val="nil"/>
              <w:right w:val="nil"/>
            </w:tcBorders>
            <w:shd w:val="clear" w:color="auto" w:fill="auto"/>
            <w:noWrap/>
            <w:vAlign w:val="center"/>
          </w:tcPr>
          <w:p w14:paraId="6A10D7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1.76 </w:t>
            </w:r>
          </w:p>
        </w:tc>
        <w:tc>
          <w:tcPr>
            <w:tcW w:w="0" w:type="auto"/>
            <w:tcBorders>
              <w:top w:val="nil"/>
              <w:left w:val="nil"/>
              <w:bottom w:val="nil"/>
              <w:right w:val="nil"/>
            </w:tcBorders>
            <w:shd w:val="clear" w:color="auto" w:fill="auto"/>
            <w:noWrap/>
            <w:vAlign w:val="center"/>
          </w:tcPr>
          <w:p w14:paraId="122C2BB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47.42 </w:t>
            </w:r>
          </w:p>
        </w:tc>
      </w:tr>
      <w:tr w14:paraId="081942D4">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5A66B868">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nil"/>
              <w:right w:val="nil"/>
            </w:tcBorders>
            <w:shd w:val="clear" w:color="auto" w:fill="auto"/>
            <w:noWrap/>
            <w:vAlign w:val="center"/>
          </w:tcPr>
          <w:p w14:paraId="75BD9FF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90</w:t>
            </w:r>
          </w:p>
        </w:tc>
        <w:tc>
          <w:tcPr>
            <w:tcW w:w="0" w:type="auto"/>
            <w:tcBorders>
              <w:top w:val="nil"/>
              <w:left w:val="nil"/>
              <w:bottom w:val="nil"/>
              <w:right w:val="nil"/>
            </w:tcBorders>
            <w:shd w:val="clear" w:color="auto" w:fill="auto"/>
            <w:noWrap/>
            <w:vAlign w:val="center"/>
          </w:tcPr>
          <w:p w14:paraId="1B418ED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84.15 </w:t>
            </w:r>
          </w:p>
        </w:tc>
        <w:tc>
          <w:tcPr>
            <w:tcW w:w="0" w:type="auto"/>
            <w:tcBorders>
              <w:top w:val="nil"/>
              <w:left w:val="nil"/>
              <w:bottom w:val="nil"/>
              <w:right w:val="nil"/>
            </w:tcBorders>
            <w:shd w:val="clear" w:color="auto" w:fill="auto"/>
            <w:noWrap/>
            <w:vAlign w:val="center"/>
          </w:tcPr>
          <w:p w14:paraId="65FC20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14.00 </w:t>
            </w:r>
          </w:p>
        </w:tc>
        <w:tc>
          <w:tcPr>
            <w:tcW w:w="0" w:type="auto"/>
            <w:tcBorders>
              <w:top w:val="nil"/>
              <w:left w:val="nil"/>
              <w:bottom w:val="nil"/>
              <w:right w:val="nil"/>
            </w:tcBorders>
            <w:shd w:val="clear" w:color="auto" w:fill="auto"/>
            <w:noWrap/>
            <w:vAlign w:val="center"/>
          </w:tcPr>
          <w:p w14:paraId="7830F8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4.51 </w:t>
            </w:r>
          </w:p>
        </w:tc>
        <w:tc>
          <w:tcPr>
            <w:tcW w:w="0" w:type="auto"/>
            <w:tcBorders>
              <w:top w:val="nil"/>
              <w:left w:val="nil"/>
              <w:bottom w:val="nil"/>
              <w:right w:val="nil"/>
            </w:tcBorders>
            <w:shd w:val="clear" w:color="auto" w:fill="auto"/>
            <w:noWrap/>
            <w:vAlign w:val="center"/>
          </w:tcPr>
          <w:p w14:paraId="1DC84E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1.90 </w:t>
            </w:r>
          </w:p>
        </w:tc>
        <w:tc>
          <w:tcPr>
            <w:tcW w:w="0" w:type="auto"/>
            <w:tcBorders>
              <w:top w:val="nil"/>
              <w:left w:val="nil"/>
              <w:bottom w:val="nil"/>
              <w:right w:val="nil"/>
            </w:tcBorders>
            <w:shd w:val="clear" w:color="auto" w:fill="auto"/>
            <w:noWrap/>
            <w:vAlign w:val="center"/>
          </w:tcPr>
          <w:p w14:paraId="211A1F3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42.55 </w:t>
            </w:r>
          </w:p>
        </w:tc>
      </w:tr>
      <w:tr w14:paraId="4E7ACA17">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7C334082">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nil"/>
              <w:right w:val="nil"/>
            </w:tcBorders>
            <w:shd w:val="clear" w:color="auto" w:fill="auto"/>
            <w:noWrap/>
            <w:vAlign w:val="center"/>
          </w:tcPr>
          <w:p w14:paraId="38DDA2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100</w:t>
            </w:r>
          </w:p>
        </w:tc>
        <w:tc>
          <w:tcPr>
            <w:tcW w:w="0" w:type="auto"/>
            <w:tcBorders>
              <w:top w:val="nil"/>
              <w:left w:val="nil"/>
              <w:bottom w:val="nil"/>
              <w:right w:val="nil"/>
            </w:tcBorders>
            <w:shd w:val="clear" w:color="auto" w:fill="auto"/>
            <w:noWrap/>
            <w:vAlign w:val="center"/>
          </w:tcPr>
          <w:p w14:paraId="4844BF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94.08 </w:t>
            </w:r>
          </w:p>
        </w:tc>
        <w:tc>
          <w:tcPr>
            <w:tcW w:w="0" w:type="auto"/>
            <w:tcBorders>
              <w:top w:val="nil"/>
              <w:left w:val="nil"/>
              <w:bottom w:val="nil"/>
              <w:right w:val="nil"/>
            </w:tcBorders>
            <w:shd w:val="clear" w:color="auto" w:fill="auto"/>
            <w:noWrap/>
            <w:vAlign w:val="center"/>
          </w:tcPr>
          <w:p w14:paraId="51445B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14.12 </w:t>
            </w:r>
          </w:p>
        </w:tc>
        <w:tc>
          <w:tcPr>
            <w:tcW w:w="0" w:type="auto"/>
            <w:tcBorders>
              <w:top w:val="nil"/>
              <w:left w:val="nil"/>
              <w:bottom w:val="nil"/>
              <w:right w:val="nil"/>
            </w:tcBorders>
            <w:shd w:val="clear" w:color="auto" w:fill="auto"/>
            <w:noWrap/>
            <w:vAlign w:val="center"/>
          </w:tcPr>
          <w:p w14:paraId="715644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5.07 </w:t>
            </w:r>
          </w:p>
        </w:tc>
        <w:tc>
          <w:tcPr>
            <w:tcW w:w="0" w:type="auto"/>
            <w:tcBorders>
              <w:top w:val="nil"/>
              <w:left w:val="nil"/>
              <w:bottom w:val="nil"/>
              <w:right w:val="nil"/>
            </w:tcBorders>
            <w:shd w:val="clear" w:color="auto" w:fill="auto"/>
            <w:noWrap/>
            <w:vAlign w:val="center"/>
          </w:tcPr>
          <w:p w14:paraId="7487DF4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2.28 </w:t>
            </w:r>
          </w:p>
        </w:tc>
        <w:tc>
          <w:tcPr>
            <w:tcW w:w="0" w:type="auto"/>
            <w:tcBorders>
              <w:top w:val="nil"/>
              <w:left w:val="nil"/>
              <w:bottom w:val="nil"/>
              <w:right w:val="nil"/>
            </w:tcBorders>
            <w:shd w:val="clear" w:color="auto" w:fill="auto"/>
            <w:noWrap/>
            <w:vAlign w:val="center"/>
          </w:tcPr>
          <w:p w14:paraId="05F5C15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44.34 </w:t>
            </w:r>
          </w:p>
        </w:tc>
      </w:tr>
      <w:tr w14:paraId="1C798449">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4788B14C">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nil"/>
              <w:right w:val="nil"/>
            </w:tcBorders>
            <w:shd w:val="clear" w:color="auto" w:fill="auto"/>
            <w:noWrap/>
            <w:vAlign w:val="center"/>
          </w:tcPr>
          <w:p w14:paraId="27B76C1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110</w:t>
            </w:r>
          </w:p>
        </w:tc>
        <w:tc>
          <w:tcPr>
            <w:tcW w:w="0" w:type="auto"/>
            <w:tcBorders>
              <w:top w:val="nil"/>
              <w:left w:val="nil"/>
              <w:bottom w:val="nil"/>
              <w:right w:val="nil"/>
            </w:tcBorders>
            <w:shd w:val="clear" w:color="auto" w:fill="auto"/>
            <w:noWrap/>
            <w:vAlign w:val="center"/>
          </w:tcPr>
          <w:p w14:paraId="5D61B5D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104.40 </w:t>
            </w:r>
          </w:p>
        </w:tc>
        <w:tc>
          <w:tcPr>
            <w:tcW w:w="0" w:type="auto"/>
            <w:tcBorders>
              <w:top w:val="nil"/>
              <w:left w:val="nil"/>
              <w:bottom w:val="nil"/>
              <w:right w:val="nil"/>
            </w:tcBorders>
            <w:shd w:val="clear" w:color="auto" w:fill="auto"/>
            <w:noWrap/>
            <w:vAlign w:val="center"/>
          </w:tcPr>
          <w:p w14:paraId="7802C49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13.90 </w:t>
            </w:r>
          </w:p>
        </w:tc>
        <w:tc>
          <w:tcPr>
            <w:tcW w:w="0" w:type="auto"/>
            <w:tcBorders>
              <w:top w:val="nil"/>
              <w:left w:val="nil"/>
              <w:bottom w:val="nil"/>
              <w:right w:val="nil"/>
            </w:tcBorders>
            <w:shd w:val="clear" w:color="auto" w:fill="auto"/>
            <w:noWrap/>
            <w:vAlign w:val="center"/>
          </w:tcPr>
          <w:p w14:paraId="34D999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5.17 </w:t>
            </w:r>
          </w:p>
        </w:tc>
        <w:tc>
          <w:tcPr>
            <w:tcW w:w="0" w:type="auto"/>
            <w:tcBorders>
              <w:top w:val="nil"/>
              <w:left w:val="nil"/>
              <w:bottom w:val="nil"/>
              <w:right w:val="nil"/>
            </w:tcBorders>
            <w:shd w:val="clear" w:color="auto" w:fill="auto"/>
            <w:noWrap/>
            <w:vAlign w:val="center"/>
          </w:tcPr>
          <w:p w14:paraId="3FA2DC1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1.68 </w:t>
            </w:r>
          </w:p>
        </w:tc>
        <w:tc>
          <w:tcPr>
            <w:tcW w:w="0" w:type="auto"/>
            <w:tcBorders>
              <w:top w:val="nil"/>
              <w:left w:val="nil"/>
              <w:bottom w:val="nil"/>
              <w:right w:val="nil"/>
            </w:tcBorders>
            <w:shd w:val="clear" w:color="auto" w:fill="auto"/>
            <w:noWrap/>
            <w:vAlign w:val="center"/>
          </w:tcPr>
          <w:p w14:paraId="746C80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33.20 </w:t>
            </w:r>
          </w:p>
        </w:tc>
      </w:tr>
      <w:tr w14:paraId="44EAB8C6">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0C93C97B">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nil"/>
              <w:right w:val="nil"/>
            </w:tcBorders>
            <w:shd w:val="clear" w:color="auto" w:fill="auto"/>
            <w:noWrap/>
            <w:vAlign w:val="center"/>
          </w:tcPr>
          <w:p w14:paraId="15956B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120</w:t>
            </w:r>
          </w:p>
        </w:tc>
        <w:tc>
          <w:tcPr>
            <w:tcW w:w="0" w:type="auto"/>
            <w:tcBorders>
              <w:top w:val="nil"/>
              <w:left w:val="nil"/>
              <w:bottom w:val="nil"/>
              <w:right w:val="nil"/>
            </w:tcBorders>
            <w:shd w:val="clear" w:color="auto" w:fill="auto"/>
            <w:noWrap/>
            <w:vAlign w:val="center"/>
          </w:tcPr>
          <w:p w14:paraId="58C5300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112.20 </w:t>
            </w:r>
          </w:p>
        </w:tc>
        <w:tc>
          <w:tcPr>
            <w:tcW w:w="0" w:type="auto"/>
            <w:tcBorders>
              <w:top w:val="nil"/>
              <w:left w:val="nil"/>
              <w:bottom w:val="nil"/>
              <w:right w:val="nil"/>
            </w:tcBorders>
            <w:shd w:val="clear" w:color="auto" w:fill="auto"/>
            <w:noWrap/>
            <w:vAlign w:val="center"/>
          </w:tcPr>
          <w:p w14:paraId="7F5038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12.78 </w:t>
            </w:r>
          </w:p>
        </w:tc>
        <w:tc>
          <w:tcPr>
            <w:tcW w:w="0" w:type="auto"/>
            <w:tcBorders>
              <w:top w:val="nil"/>
              <w:left w:val="nil"/>
              <w:bottom w:val="nil"/>
              <w:right w:val="nil"/>
            </w:tcBorders>
            <w:shd w:val="clear" w:color="auto" w:fill="auto"/>
            <w:noWrap/>
            <w:vAlign w:val="center"/>
          </w:tcPr>
          <w:p w14:paraId="49D27E3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5.04 </w:t>
            </w:r>
          </w:p>
        </w:tc>
        <w:tc>
          <w:tcPr>
            <w:tcW w:w="0" w:type="auto"/>
            <w:tcBorders>
              <w:top w:val="nil"/>
              <w:left w:val="nil"/>
              <w:bottom w:val="nil"/>
              <w:right w:val="nil"/>
            </w:tcBorders>
            <w:shd w:val="clear" w:color="auto" w:fill="auto"/>
            <w:noWrap/>
            <w:vAlign w:val="center"/>
          </w:tcPr>
          <w:p w14:paraId="78CECD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1.87 </w:t>
            </w:r>
          </w:p>
        </w:tc>
        <w:tc>
          <w:tcPr>
            <w:tcW w:w="0" w:type="auto"/>
            <w:tcBorders>
              <w:top w:val="nil"/>
              <w:left w:val="nil"/>
              <w:bottom w:val="nil"/>
              <w:right w:val="nil"/>
            </w:tcBorders>
            <w:shd w:val="clear" w:color="auto" w:fill="auto"/>
            <w:noWrap/>
            <w:vAlign w:val="center"/>
          </w:tcPr>
          <w:p w14:paraId="3DD995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 xml:space="preserve">36.86 </w:t>
            </w:r>
          </w:p>
        </w:tc>
      </w:tr>
      <w:tr w14:paraId="59E9F1B5">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5BAD49BF">
            <w:pPr>
              <w:keepNext w:val="0"/>
              <w:keepLines w:val="0"/>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p>
        </w:tc>
        <w:tc>
          <w:tcPr>
            <w:tcW w:w="0" w:type="auto"/>
            <w:tcBorders>
              <w:top w:val="nil"/>
              <w:left w:val="nil"/>
              <w:bottom w:val="single" w:color="auto" w:sz="6" w:space="0"/>
              <w:right w:val="nil"/>
            </w:tcBorders>
            <w:shd w:val="clear" w:color="auto" w:fill="auto"/>
            <w:noWrap/>
            <w:vAlign w:val="center"/>
          </w:tcPr>
          <w:p w14:paraId="5F3FDBF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themeColor="text1"/>
                <w:kern w:val="0"/>
                <w:sz w:val="16"/>
                <w:szCs w:val="16"/>
                <w14:textFill>
                  <w14:solidFill>
                    <w14:schemeClr w14:val="tx1"/>
                  </w14:solidFill>
                </w14:textFill>
              </w:rPr>
              <w:t>显著性</w:t>
            </w:r>
          </w:p>
        </w:tc>
        <w:tc>
          <w:tcPr>
            <w:tcW w:w="0" w:type="auto"/>
            <w:tcBorders>
              <w:top w:val="nil"/>
              <w:left w:val="nil"/>
              <w:bottom w:val="single" w:color="auto" w:sz="6" w:space="0"/>
              <w:right w:val="nil"/>
            </w:tcBorders>
            <w:shd w:val="clear" w:color="auto" w:fill="auto"/>
            <w:noWrap/>
            <w:vAlign w:val="center"/>
          </w:tcPr>
          <w:p w14:paraId="0CB6B2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themeColor="text1"/>
                <w:kern w:val="0"/>
                <w:sz w:val="16"/>
                <w:szCs w:val="16"/>
                <w14:textFill>
                  <w14:solidFill>
                    <w14:schemeClr w14:val="tx1"/>
                  </w14:solidFill>
                </w14:textFill>
              </w:rPr>
              <w:t>0</w:t>
            </w:r>
          </w:p>
        </w:tc>
        <w:tc>
          <w:tcPr>
            <w:tcW w:w="0" w:type="auto"/>
            <w:tcBorders>
              <w:top w:val="nil"/>
              <w:left w:val="nil"/>
              <w:bottom w:val="single" w:color="auto" w:sz="6" w:space="0"/>
              <w:right w:val="nil"/>
            </w:tcBorders>
            <w:shd w:val="clear" w:color="auto" w:fill="auto"/>
            <w:noWrap/>
            <w:vAlign w:val="center"/>
          </w:tcPr>
          <w:p w14:paraId="331FC90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themeColor="text1"/>
                <w:kern w:val="0"/>
                <w:sz w:val="16"/>
                <w:szCs w:val="16"/>
                <w14:textFill>
                  <w14:solidFill>
                    <w14:schemeClr w14:val="tx1"/>
                  </w14:solidFill>
                </w14:textFill>
              </w:rPr>
              <w:t>0.531</w:t>
            </w:r>
          </w:p>
        </w:tc>
        <w:tc>
          <w:tcPr>
            <w:tcW w:w="0" w:type="auto"/>
            <w:tcBorders>
              <w:top w:val="nil"/>
              <w:left w:val="nil"/>
              <w:bottom w:val="single" w:color="auto" w:sz="6" w:space="0"/>
              <w:right w:val="nil"/>
            </w:tcBorders>
            <w:shd w:val="clear" w:color="auto" w:fill="auto"/>
            <w:noWrap/>
            <w:vAlign w:val="center"/>
          </w:tcPr>
          <w:p w14:paraId="5E8A2C9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themeColor="text1"/>
                <w:kern w:val="0"/>
                <w:sz w:val="16"/>
                <w:szCs w:val="16"/>
                <w14:textFill>
                  <w14:solidFill>
                    <w14:schemeClr w14:val="tx1"/>
                  </w14:solidFill>
                </w14:textFill>
              </w:rPr>
              <w:t>0</w:t>
            </w:r>
          </w:p>
        </w:tc>
        <w:tc>
          <w:tcPr>
            <w:tcW w:w="0" w:type="auto"/>
            <w:tcBorders>
              <w:top w:val="nil"/>
              <w:left w:val="nil"/>
              <w:bottom w:val="single" w:color="auto" w:sz="6" w:space="0"/>
              <w:right w:val="nil"/>
            </w:tcBorders>
            <w:shd w:val="clear" w:color="auto" w:fill="auto"/>
            <w:noWrap/>
            <w:vAlign w:val="center"/>
          </w:tcPr>
          <w:p w14:paraId="0E243EB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themeColor="text1"/>
                <w:kern w:val="0"/>
                <w:sz w:val="16"/>
                <w:szCs w:val="16"/>
                <w14:textFill>
                  <w14:solidFill>
                    <w14:schemeClr w14:val="tx1"/>
                  </w14:solidFill>
                </w14:textFill>
              </w:rPr>
              <w:t>0</w:t>
            </w:r>
          </w:p>
        </w:tc>
        <w:tc>
          <w:tcPr>
            <w:tcW w:w="0" w:type="auto"/>
            <w:tcBorders>
              <w:top w:val="nil"/>
              <w:left w:val="nil"/>
              <w:bottom w:val="single" w:color="auto" w:sz="6" w:space="0"/>
              <w:right w:val="nil"/>
            </w:tcBorders>
            <w:shd w:val="clear" w:color="auto" w:fill="auto"/>
            <w:noWrap/>
            <w:vAlign w:val="center"/>
          </w:tcPr>
          <w:p w14:paraId="19DFB93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themeColor="text1"/>
                <w:kern w:val="0"/>
                <w:sz w:val="16"/>
                <w:szCs w:val="16"/>
                <w14:textFill>
                  <w14:solidFill>
                    <w14:schemeClr w14:val="tx1"/>
                  </w14:solidFill>
                </w14:textFill>
              </w:rPr>
              <w:t>0.027</w:t>
            </w:r>
          </w:p>
        </w:tc>
      </w:tr>
      <w:tr w14:paraId="5DA26E86">
        <w:tblPrEx>
          <w:tblCellMar>
            <w:top w:w="0" w:type="dxa"/>
            <w:left w:w="108" w:type="dxa"/>
            <w:bottom w:w="0" w:type="dxa"/>
            <w:right w:w="108" w:type="dxa"/>
          </w:tblCellMar>
        </w:tblPrEx>
        <w:trPr>
          <w:trHeight w:val="90" w:hRule="atLeast"/>
          <w:jc w:val="center"/>
        </w:trPr>
        <w:tc>
          <w:tcPr>
            <w:tcW w:w="0" w:type="auto"/>
            <w:vMerge w:val="restart"/>
            <w:tcBorders>
              <w:top w:val="nil"/>
              <w:left w:val="nil"/>
              <w:bottom w:val="nil"/>
              <w:right w:val="nil"/>
            </w:tcBorders>
            <w:shd w:val="clear" w:color="auto" w:fill="auto"/>
            <w:noWrap/>
            <w:vAlign w:val="center"/>
          </w:tcPr>
          <w:p w14:paraId="5B6F8A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吊丝球竹</w:t>
            </w:r>
          </w:p>
        </w:tc>
        <w:tc>
          <w:tcPr>
            <w:tcW w:w="0" w:type="auto"/>
            <w:tcBorders>
              <w:top w:val="single" w:color="auto" w:sz="6" w:space="0"/>
              <w:left w:val="nil"/>
              <w:bottom w:val="nil"/>
              <w:right w:val="nil"/>
            </w:tcBorders>
            <w:shd w:val="clear" w:color="auto" w:fill="auto"/>
            <w:noWrap/>
            <w:vAlign w:val="center"/>
          </w:tcPr>
          <w:p w14:paraId="53F3D25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30</w:t>
            </w:r>
          </w:p>
        </w:tc>
        <w:tc>
          <w:tcPr>
            <w:tcW w:w="0" w:type="auto"/>
            <w:tcBorders>
              <w:top w:val="single" w:color="auto" w:sz="6" w:space="0"/>
              <w:left w:val="nil"/>
              <w:bottom w:val="nil"/>
              <w:right w:val="nil"/>
            </w:tcBorders>
            <w:shd w:val="clear" w:color="auto" w:fill="auto"/>
            <w:noWrap/>
            <w:vAlign w:val="center"/>
          </w:tcPr>
          <w:p w14:paraId="122F878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28.00 </w:t>
            </w:r>
          </w:p>
        </w:tc>
        <w:tc>
          <w:tcPr>
            <w:tcW w:w="0" w:type="auto"/>
            <w:tcBorders>
              <w:top w:val="single" w:color="auto" w:sz="6" w:space="0"/>
              <w:left w:val="nil"/>
              <w:bottom w:val="nil"/>
              <w:right w:val="nil"/>
            </w:tcBorders>
            <w:shd w:val="clear" w:color="auto" w:fill="auto"/>
            <w:noWrap/>
            <w:vAlign w:val="center"/>
          </w:tcPr>
          <w:p w14:paraId="0A2DD01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9.59 </w:t>
            </w:r>
          </w:p>
        </w:tc>
        <w:tc>
          <w:tcPr>
            <w:tcW w:w="0" w:type="auto"/>
            <w:tcBorders>
              <w:top w:val="single" w:color="auto" w:sz="6" w:space="0"/>
              <w:left w:val="nil"/>
              <w:bottom w:val="nil"/>
              <w:right w:val="nil"/>
            </w:tcBorders>
            <w:shd w:val="clear" w:color="auto" w:fill="auto"/>
            <w:noWrap/>
            <w:vAlign w:val="center"/>
          </w:tcPr>
          <w:p w14:paraId="4F1E06E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1.00 </w:t>
            </w:r>
          </w:p>
        </w:tc>
        <w:tc>
          <w:tcPr>
            <w:tcW w:w="0" w:type="auto"/>
            <w:tcBorders>
              <w:top w:val="single" w:color="auto" w:sz="6" w:space="0"/>
              <w:left w:val="nil"/>
              <w:bottom w:val="nil"/>
              <w:right w:val="nil"/>
            </w:tcBorders>
            <w:shd w:val="clear" w:color="auto" w:fill="auto"/>
            <w:noWrap/>
            <w:vAlign w:val="center"/>
          </w:tcPr>
          <w:p w14:paraId="34FA99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0.45 </w:t>
            </w:r>
          </w:p>
        </w:tc>
        <w:tc>
          <w:tcPr>
            <w:tcW w:w="0" w:type="auto"/>
            <w:tcBorders>
              <w:top w:val="single" w:color="auto" w:sz="6" w:space="0"/>
              <w:left w:val="nil"/>
              <w:bottom w:val="nil"/>
              <w:right w:val="nil"/>
            </w:tcBorders>
            <w:shd w:val="clear" w:color="auto" w:fill="auto"/>
            <w:noWrap/>
            <w:vAlign w:val="center"/>
          </w:tcPr>
          <w:p w14:paraId="4559FCC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44.62 </w:t>
            </w:r>
          </w:p>
        </w:tc>
      </w:tr>
      <w:tr w14:paraId="037828FF">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3F5133DC">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2A27DF3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40</w:t>
            </w:r>
          </w:p>
        </w:tc>
        <w:tc>
          <w:tcPr>
            <w:tcW w:w="0" w:type="auto"/>
            <w:tcBorders>
              <w:top w:val="nil"/>
              <w:left w:val="nil"/>
              <w:bottom w:val="nil"/>
              <w:right w:val="nil"/>
            </w:tcBorders>
            <w:shd w:val="clear" w:color="auto" w:fill="auto"/>
            <w:noWrap/>
            <w:vAlign w:val="center"/>
          </w:tcPr>
          <w:p w14:paraId="2DCDE56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34.93 </w:t>
            </w:r>
          </w:p>
        </w:tc>
        <w:tc>
          <w:tcPr>
            <w:tcW w:w="0" w:type="auto"/>
            <w:tcBorders>
              <w:top w:val="nil"/>
              <w:left w:val="nil"/>
              <w:bottom w:val="nil"/>
              <w:right w:val="nil"/>
            </w:tcBorders>
            <w:shd w:val="clear" w:color="auto" w:fill="auto"/>
            <w:noWrap/>
            <w:vAlign w:val="center"/>
          </w:tcPr>
          <w:p w14:paraId="16318FD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9.55 </w:t>
            </w:r>
          </w:p>
        </w:tc>
        <w:tc>
          <w:tcPr>
            <w:tcW w:w="0" w:type="auto"/>
            <w:tcBorders>
              <w:top w:val="nil"/>
              <w:left w:val="nil"/>
              <w:bottom w:val="nil"/>
              <w:right w:val="nil"/>
            </w:tcBorders>
            <w:shd w:val="clear" w:color="auto" w:fill="auto"/>
            <w:noWrap/>
            <w:vAlign w:val="center"/>
          </w:tcPr>
          <w:p w14:paraId="457B0FE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1.20 </w:t>
            </w:r>
          </w:p>
        </w:tc>
        <w:tc>
          <w:tcPr>
            <w:tcW w:w="0" w:type="auto"/>
            <w:tcBorders>
              <w:top w:val="nil"/>
              <w:left w:val="nil"/>
              <w:bottom w:val="nil"/>
              <w:right w:val="nil"/>
            </w:tcBorders>
            <w:shd w:val="clear" w:color="auto" w:fill="auto"/>
            <w:noWrap/>
            <w:vAlign w:val="center"/>
          </w:tcPr>
          <w:p w14:paraId="057243A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0.49 </w:t>
            </w:r>
          </w:p>
        </w:tc>
        <w:tc>
          <w:tcPr>
            <w:tcW w:w="0" w:type="auto"/>
            <w:tcBorders>
              <w:top w:val="nil"/>
              <w:left w:val="nil"/>
              <w:bottom w:val="nil"/>
              <w:right w:val="nil"/>
            </w:tcBorders>
            <w:shd w:val="clear" w:color="auto" w:fill="auto"/>
            <w:noWrap/>
            <w:vAlign w:val="center"/>
          </w:tcPr>
          <w:p w14:paraId="48C041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41.14 </w:t>
            </w:r>
          </w:p>
        </w:tc>
      </w:tr>
      <w:tr w14:paraId="64FD2D65">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4FB3DF13">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60DB5E8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50</w:t>
            </w:r>
          </w:p>
        </w:tc>
        <w:tc>
          <w:tcPr>
            <w:tcW w:w="0" w:type="auto"/>
            <w:tcBorders>
              <w:top w:val="nil"/>
              <w:left w:val="nil"/>
              <w:bottom w:val="nil"/>
              <w:right w:val="nil"/>
            </w:tcBorders>
            <w:shd w:val="clear" w:color="auto" w:fill="auto"/>
            <w:noWrap/>
            <w:vAlign w:val="center"/>
          </w:tcPr>
          <w:p w14:paraId="30C06A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44.65 </w:t>
            </w:r>
          </w:p>
        </w:tc>
        <w:tc>
          <w:tcPr>
            <w:tcW w:w="0" w:type="auto"/>
            <w:tcBorders>
              <w:top w:val="nil"/>
              <w:left w:val="nil"/>
              <w:bottom w:val="nil"/>
              <w:right w:val="nil"/>
            </w:tcBorders>
            <w:shd w:val="clear" w:color="auto" w:fill="auto"/>
            <w:noWrap/>
            <w:vAlign w:val="center"/>
          </w:tcPr>
          <w:p w14:paraId="03ADC34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10.03 </w:t>
            </w:r>
          </w:p>
        </w:tc>
        <w:tc>
          <w:tcPr>
            <w:tcW w:w="0" w:type="auto"/>
            <w:tcBorders>
              <w:top w:val="nil"/>
              <w:left w:val="nil"/>
              <w:bottom w:val="nil"/>
              <w:right w:val="nil"/>
            </w:tcBorders>
            <w:shd w:val="clear" w:color="auto" w:fill="auto"/>
            <w:noWrap/>
            <w:vAlign w:val="center"/>
          </w:tcPr>
          <w:p w14:paraId="350A23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1.64 </w:t>
            </w:r>
          </w:p>
        </w:tc>
        <w:tc>
          <w:tcPr>
            <w:tcW w:w="0" w:type="auto"/>
            <w:tcBorders>
              <w:top w:val="nil"/>
              <w:left w:val="nil"/>
              <w:bottom w:val="nil"/>
              <w:right w:val="nil"/>
            </w:tcBorders>
            <w:shd w:val="clear" w:color="auto" w:fill="auto"/>
            <w:noWrap/>
            <w:vAlign w:val="center"/>
          </w:tcPr>
          <w:p w14:paraId="6B10444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0.70 </w:t>
            </w:r>
          </w:p>
        </w:tc>
        <w:tc>
          <w:tcPr>
            <w:tcW w:w="0" w:type="auto"/>
            <w:tcBorders>
              <w:top w:val="nil"/>
              <w:left w:val="nil"/>
              <w:bottom w:val="nil"/>
              <w:right w:val="nil"/>
            </w:tcBorders>
            <w:shd w:val="clear" w:color="auto" w:fill="auto"/>
            <w:noWrap/>
            <w:vAlign w:val="center"/>
          </w:tcPr>
          <w:p w14:paraId="72143C9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42.26 </w:t>
            </w:r>
          </w:p>
        </w:tc>
      </w:tr>
      <w:tr w14:paraId="16578FE3">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0076A11A">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4BB08E4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60</w:t>
            </w:r>
          </w:p>
        </w:tc>
        <w:tc>
          <w:tcPr>
            <w:tcW w:w="0" w:type="auto"/>
            <w:tcBorders>
              <w:top w:val="nil"/>
              <w:left w:val="nil"/>
              <w:bottom w:val="nil"/>
              <w:right w:val="nil"/>
            </w:tcBorders>
            <w:shd w:val="clear" w:color="auto" w:fill="auto"/>
            <w:noWrap/>
            <w:vAlign w:val="center"/>
          </w:tcPr>
          <w:p w14:paraId="6D252D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53.90 </w:t>
            </w:r>
          </w:p>
        </w:tc>
        <w:tc>
          <w:tcPr>
            <w:tcW w:w="0" w:type="auto"/>
            <w:tcBorders>
              <w:top w:val="nil"/>
              <w:left w:val="nil"/>
              <w:bottom w:val="nil"/>
              <w:right w:val="nil"/>
            </w:tcBorders>
            <w:shd w:val="clear" w:color="auto" w:fill="auto"/>
            <w:noWrap/>
            <w:vAlign w:val="center"/>
          </w:tcPr>
          <w:p w14:paraId="7451E1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10.54 </w:t>
            </w:r>
          </w:p>
        </w:tc>
        <w:tc>
          <w:tcPr>
            <w:tcW w:w="0" w:type="auto"/>
            <w:tcBorders>
              <w:top w:val="nil"/>
              <w:left w:val="nil"/>
              <w:bottom w:val="nil"/>
              <w:right w:val="nil"/>
            </w:tcBorders>
            <w:shd w:val="clear" w:color="auto" w:fill="auto"/>
            <w:noWrap/>
            <w:vAlign w:val="center"/>
          </w:tcPr>
          <w:p w14:paraId="109CF6A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2.30 </w:t>
            </w:r>
          </w:p>
        </w:tc>
        <w:tc>
          <w:tcPr>
            <w:tcW w:w="0" w:type="auto"/>
            <w:tcBorders>
              <w:top w:val="nil"/>
              <w:left w:val="nil"/>
              <w:bottom w:val="nil"/>
              <w:right w:val="nil"/>
            </w:tcBorders>
            <w:shd w:val="clear" w:color="auto" w:fill="auto"/>
            <w:noWrap/>
            <w:vAlign w:val="center"/>
          </w:tcPr>
          <w:p w14:paraId="5D32D76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0.97 </w:t>
            </w:r>
          </w:p>
        </w:tc>
        <w:tc>
          <w:tcPr>
            <w:tcW w:w="0" w:type="auto"/>
            <w:tcBorders>
              <w:top w:val="nil"/>
              <w:left w:val="nil"/>
              <w:bottom w:val="nil"/>
              <w:right w:val="nil"/>
            </w:tcBorders>
            <w:shd w:val="clear" w:color="auto" w:fill="auto"/>
            <w:noWrap/>
            <w:vAlign w:val="center"/>
          </w:tcPr>
          <w:p w14:paraId="5656FCE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42.20 </w:t>
            </w:r>
          </w:p>
        </w:tc>
      </w:tr>
      <w:tr w14:paraId="2A2DA25B">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6481C3C8">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4BE787B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70</w:t>
            </w:r>
          </w:p>
        </w:tc>
        <w:tc>
          <w:tcPr>
            <w:tcW w:w="0" w:type="auto"/>
            <w:tcBorders>
              <w:top w:val="nil"/>
              <w:left w:val="nil"/>
              <w:bottom w:val="nil"/>
              <w:right w:val="nil"/>
            </w:tcBorders>
            <w:shd w:val="clear" w:color="auto" w:fill="auto"/>
            <w:noWrap/>
            <w:vAlign w:val="center"/>
          </w:tcPr>
          <w:p w14:paraId="45C1125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63.53 </w:t>
            </w:r>
          </w:p>
        </w:tc>
        <w:tc>
          <w:tcPr>
            <w:tcW w:w="0" w:type="auto"/>
            <w:tcBorders>
              <w:top w:val="nil"/>
              <w:left w:val="nil"/>
              <w:bottom w:val="nil"/>
              <w:right w:val="nil"/>
            </w:tcBorders>
            <w:shd w:val="clear" w:color="auto" w:fill="auto"/>
            <w:noWrap/>
            <w:vAlign w:val="center"/>
          </w:tcPr>
          <w:p w14:paraId="6B661C6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10.92 </w:t>
            </w:r>
          </w:p>
        </w:tc>
        <w:tc>
          <w:tcPr>
            <w:tcW w:w="0" w:type="auto"/>
            <w:tcBorders>
              <w:top w:val="nil"/>
              <w:left w:val="nil"/>
              <w:bottom w:val="nil"/>
              <w:right w:val="nil"/>
            </w:tcBorders>
            <w:shd w:val="clear" w:color="auto" w:fill="auto"/>
            <w:noWrap/>
            <w:vAlign w:val="center"/>
          </w:tcPr>
          <w:p w14:paraId="79136BF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2.79 </w:t>
            </w:r>
          </w:p>
        </w:tc>
        <w:tc>
          <w:tcPr>
            <w:tcW w:w="0" w:type="auto"/>
            <w:tcBorders>
              <w:top w:val="nil"/>
              <w:left w:val="nil"/>
              <w:bottom w:val="nil"/>
              <w:right w:val="nil"/>
            </w:tcBorders>
            <w:shd w:val="clear" w:color="auto" w:fill="auto"/>
            <w:noWrap/>
            <w:vAlign w:val="center"/>
          </w:tcPr>
          <w:p w14:paraId="277F59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1.04 </w:t>
            </w:r>
          </w:p>
        </w:tc>
        <w:tc>
          <w:tcPr>
            <w:tcW w:w="0" w:type="auto"/>
            <w:tcBorders>
              <w:top w:val="nil"/>
              <w:left w:val="nil"/>
              <w:bottom w:val="nil"/>
              <w:right w:val="nil"/>
            </w:tcBorders>
            <w:shd w:val="clear" w:color="auto" w:fill="auto"/>
            <w:noWrap/>
            <w:vAlign w:val="center"/>
          </w:tcPr>
          <w:p w14:paraId="440EC97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36.88 </w:t>
            </w:r>
          </w:p>
        </w:tc>
      </w:tr>
      <w:tr w14:paraId="13623C3C">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0B92A869">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5553262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80</w:t>
            </w:r>
          </w:p>
        </w:tc>
        <w:tc>
          <w:tcPr>
            <w:tcW w:w="0" w:type="auto"/>
            <w:tcBorders>
              <w:top w:val="nil"/>
              <w:left w:val="nil"/>
              <w:bottom w:val="nil"/>
              <w:right w:val="nil"/>
            </w:tcBorders>
            <w:shd w:val="clear" w:color="auto" w:fill="auto"/>
            <w:noWrap/>
            <w:vAlign w:val="center"/>
          </w:tcPr>
          <w:p w14:paraId="14489AD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73.54 </w:t>
            </w:r>
          </w:p>
        </w:tc>
        <w:tc>
          <w:tcPr>
            <w:tcW w:w="0" w:type="auto"/>
            <w:tcBorders>
              <w:top w:val="nil"/>
              <w:left w:val="nil"/>
              <w:bottom w:val="nil"/>
              <w:right w:val="nil"/>
            </w:tcBorders>
            <w:shd w:val="clear" w:color="auto" w:fill="auto"/>
            <w:noWrap/>
            <w:vAlign w:val="center"/>
          </w:tcPr>
          <w:p w14:paraId="20233E4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12.40 </w:t>
            </w:r>
          </w:p>
        </w:tc>
        <w:tc>
          <w:tcPr>
            <w:tcW w:w="0" w:type="auto"/>
            <w:tcBorders>
              <w:top w:val="nil"/>
              <w:left w:val="nil"/>
              <w:bottom w:val="nil"/>
              <w:right w:val="nil"/>
            </w:tcBorders>
            <w:shd w:val="clear" w:color="auto" w:fill="auto"/>
            <w:noWrap/>
            <w:vAlign w:val="center"/>
          </w:tcPr>
          <w:p w14:paraId="26E24C2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3.66 </w:t>
            </w:r>
          </w:p>
        </w:tc>
        <w:tc>
          <w:tcPr>
            <w:tcW w:w="0" w:type="auto"/>
            <w:tcBorders>
              <w:top w:val="nil"/>
              <w:left w:val="nil"/>
              <w:bottom w:val="nil"/>
              <w:right w:val="nil"/>
            </w:tcBorders>
            <w:shd w:val="clear" w:color="auto" w:fill="auto"/>
            <w:noWrap/>
            <w:vAlign w:val="center"/>
          </w:tcPr>
          <w:p w14:paraId="518561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1.38 </w:t>
            </w:r>
          </w:p>
        </w:tc>
        <w:tc>
          <w:tcPr>
            <w:tcW w:w="0" w:type="auto"/>
            <w:tcBorders>
              <w:top w:val="nil"/>
              <w:left w:val="nil"/>
              <w:bottom w:val="nil"/>
              <w:right w:val="nil"/>
            </w:tcBorders>
            <w:shd w:val="clear" w:color="auto" w:fill="auto"/>
            <w:noWrap/>
            <w:vAlign w:val="center"/>
          </w:tcPr>
          <w:p w14:paraId="62D08EB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37.08 </w:t>
            </w:r>
          </w:p>
        </w:tc>
      </w:tr>
      <w:tr w14:paraId="3DE31E75">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007A567C">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0DF013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90</w:t>
            </w:r>
          </w:p>
        </w:tc>
        <w:tc>
          <w:tcPr>
            <w:tcW w:w="0" w:type="auto"/>
            <w:tcBorders>
              <w:top w:val="nil"/>
              <w:left w:val="nil"/>
              <w:bottom w:val="nil"/>
              <w:right w:val="nil"/>
            </w:tcBorders>
            <w:shd w:val="clear" w:color="auto" w:fill="auto"/>
            <w:noWrap/>
            <w:vAlign w:val="center"/>
          </w:tcPr>
          <w:p w14:paraId="5A4DE8C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86.13 </w:t>
            </w:r>
          </w:p>
        </w:tc>
        <w:tc>
          <w:tcPr>
            <w:tcW w:w="0" w:type="auto"/>
            <w:tcBorders>
              <w:top w:val="nil"/>
              <w:left w:val="nil"/>
              <w:bottom w:val="nil"/>
              <w:right w:val="nil"/>
            </w:tcBorders>
            <w:shd w:val="clear" w:color="auto" w:fill="auto"/>
            <w:noWrap/>
            <w:vAlign w:val="center"/>
          </w:tcPr>
          <w:p w14:paraId="7C65F27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11.33 </w:t>
            </w:r>
          </w:p>
        </w:tc>
        <w:tc>
          <w:tcPr>
            <w:tcW w:w="0" w:type="auto"/>
            <w:tcBorders>
              <w:top w:val="nil"/>
              <w:left w:val="nil"/>
              <w:bottom w:val="nil"/>
              <w:right w:val="nil"/>
            </w:tcBorders>
            <w:shd w:val="clear" w:color="auto" w:fill="auto"/>
            <w:noWrap/>
            <w:vAlign w:val="center"/>
          </w:tcPr>
          <w:p w14:paraId="56CB10B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4.51 </w:t>
            </w:r>
          </w:p>
        </w:tc>
        <w:tc>
          <w:tcPr>
            <w:tcW w:w="0" w:type="auto"/>
            <w:tcBorders>
              <w:top w:val="nil"/>
              <w:left w:val="nil"/>
              <w:bottom w:val="nil"/>
              <w:right w:val="nil"/>
            </w:tcBorders>
            <w:shd w:val="clear" w:color="auto" w:fill="auto"/>
            <w:noWrap/>
            <w:vAlign w:val="center"/>
          </w:tcPr>
          <w:p w14:paraId="60C161C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1.59 </w:t>
            </w:r>
          </w:p>
        </w:tc>
        <w:tc>
          <w:tcPr>
            <w:tcW w:w="0" w:type="auto"/>
            <w:tcBorders>
              <w:top w:val="nil"/>
              <w:left w:val="nil"/>
              <w:bottom w:val="nil"/>
              <w:right w:val="nil"/>
            </w:tcBorders>
            <w:shd w:val="clear" w:color="auto" w:fill="auto"/>
            <w:noWrap/>
            <w:vAlign w:val="center"/>
          </w:tcPr>
          <w:p w14:paraId="074292A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36.92 </w:t>
            </w:r>
          </w:p>
        </w:tc>
      </w:tr>
      <w:tr w14:paraId="5EAE863D">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7B16934C">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033A2C7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100</w:t>
            </w:r>
          </w:p>
        </w:tc>
        <w:tc>
          <w:tcPr>
            <w:tcW w:w="0" w:type="auto"/>
            <w:tcBorders>
              <w:top w:val="nil"/>
              <w:left w:val="nil"/>
              <w:bottom w:val="nil"/>
              <w:right w:val="nil"/>
            </w:tcBorders>
            <w:shd w:val="clear" w:color="auto" w:fill="auto"/>
            <w:noWrap/>
            <w:vAlign w:val="center"/>
          </w:tcPr>
          <w:p w14:paraId="41403F5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109.75 </w:t>
            </w:r>
          </w:p>
        </w:tc>
        <w:tc>
          <w:tcPr>
            <w:tcW w:w="0" w:type="auto"/>
            <w:tcBorders>
              <w:top w:val="nil"/>
              <w:left w:val="nil"/>
              <w:bottom w:val="nil"/>
              <w:right w:val="nil"/>
            </w:tcBorders>
            <w:shd w:val="clear" w:color="auto" w:fill="auto"/>
            <w:noWrap/>
            <w:vAlign w:val="center"/>
          </w:tcPr>
          <w:p w14:paraId="0CAEB75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11.40 </w:t>
            </w:r>
          </w:p>
        </w:tc>
        <w:tc>
          <w:tcPr>
            <w:tcW w:w="0" w:type="auto"/>
            <w:tcBorders>
              <w:top w:val="nil"/>
              <w:left w:val="nil"/>
              <w:bottom w:val="nil"/>
              <w:right w:val="nil"/>
            </w:tcBorders>
            <w:shd w:val="clear" w:color="auto" w:fill="auto"/>
            <w:noWrap/>
            <w:vAlign w:val="center"/>
          </w:tcPr>
          <w:p w14:paraId="77BCB4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8.07 </w:t>
            </w:r>
          </w:p>
        </w:tc>
        <w:tc>
          <w:tcPr>
            <w:tcW w:w="0" w:type="auto"/>
            <w:tcBorders>
              <w:top w:val="nil"/>
              <w:left w:val="nil"/>
              <w:bottom w:val="nil"/>
              <w:right w:val="nil"/>
            </w:tcBorders>
            <w:shd w:val="clear" w:color="auto" w:fill="auto"/>
            <w:noWrap/>
            <w:vAlign w:val="center"/>
          </w:tcPr>
          <w:p w14:paraId="531E67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1.88 </w:t>
            </w:r>
          </w:p>
        </w:tc>
        <w:tc>
          <w:tcPr>
            <w:tcW w:w="0" w:type="auto"/>
            <w:tcBorders>
              <w:top w:val="nil"/>
              <w:left w:val="nil"/>
              <w:bottom w:val="nil"/>
              <w:right w:val="nil"/>
            </w:tcBorders>
            <w:shd w:val="clear" w:color="auto" w:fill="auto"/>
            <w:noWrap/>
            <w:vAlign w:val="center"/>
          </w:tcPr>
          <w:p w14:paraId="4786A8F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22.27 </w:t>
            </w:r>
          </w:p>
        </w:tc>
      </w:tr>
      <w:tr w14:paraId="69936FCA">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nil"/>
              <w:right w:val="nil"/>
            </w:tcBorders>
            <w:shd w:val="clear" w:color="auto" w:fill="auto"/>
            <w:noWrap/>
            <w:vAlign w:val="center"/>
          </w:tcPr>
          <w:p w14:paraId="1F05FC1D">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single" w:color="auto" w:sz="6" w:space="0"/>
              <w:right w:val="nil"/>
            </w:tcBorders>
            <w:shd w:val="clear" w:color="auto" w:fill="auto"/>
            <w:noWrap/>
            <w:vAlign w:val="center"/>
          </w:tcPr>
          <w:p w14:paraId="53FA70F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显著性</w:t>
            </w:r>
          </w:p>
        </w:tc>
        <w:tc>
          <w:tcPr>
            <w:tcW w:w="0" w:type="auto"/>
            <w:tcBorders>
              <w:top w:val="nil"/>
              <w:left w:val="nil"/>
              <w:bottom w:val="single" w:color="auto" w:sz="6" w:space="0"/>
              <w:right w:val="nil"/>
            </w:tcBorders>
            <w:shd w:val="clear" w:color="auto" w:fill="auto"/>
            <w:noWrap/>
            <w:vAlign w:val="center"/>
          </w:tcPr>
          <w:p w14:paraId="01CB60D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0</w:t>
            </w:r>
          </w:p>
        </w:tc>
        <w:tc>
          <w:tcPr>
            <w:tcW w:w="0" w:type="auto"/>
            <w:tcBorders>
              <w:top w:val="nil"/>
              <w:left w:val="nil"/>
              <w:bottom w:val="single" w:color="auto" w:sz="6" w:space="0"/>
              <w:right w:val="nil"/>
            </w:tcBorders>
            <w:shd w:val="clear" w:color="auto" w:fill="auto"/>
            <w:noWrap/>
            <w:vAlign w:val="center"/>
          </w:tcPr>
          <w:p w14:paraId="6F1039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0.013</w:t>
            </w:r>
          </w:p>
        </w:tc>
        <w:tc>
          <w:tcPr>
            <w:tcW w:w="0" w:type="auto"/>
            <w:tcBorders>
              <w:top w:val="nil"/>
              <w:left w:val="nil"/>
              <w:bottom w:val="single" w:color="auto" w:sz="6" w:space="0"/>
              <w:right w:val="nil"/>
            </w:tcBorders>
            <w:shd w:val="clear" w:color="auto" w:fill="auto"/>
            <w:noWrap/>
            <w:vAlign w:val="center"/>
          </w:tcPr>
          <w:p w14:paraId="08F933F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0</w:t>
            </w:r>
          </w:p>
        </w:tc>
        <w:tc>
          <w:tcPr>
            <w:tcW w:w="0" w:type="auto"/>
            <w:tcBorders>
              <w:top w:val="nil"/>
              <w:left w:val="nil"/>
              <w:bottom w:val="single" w:color="auto" w:sz="6" w:space="0"/>
              <w:right w:val="nil"/>
            </w:tcBorders>
            <w:shd w:val="clear" w:color="auto" w:fill="auto"/>
            <w:noWrap/>
            <w:vAlign w:val="center"/>
          </w:tcPr>
          <w:p w14:paraId="6B95394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0</w:t>
            </w:r>
          </w:p>
        </w:tc>
        <w:tc>
          <w:tcPr>
            <w:tcW w:w="0" w:type="auto"/>
            <w:tcBorders>
              <w:top w:val="nil"/>
              <w:left w:val="nil"/>
              <w:bottom w:val="single" w:color="auto" w:sz="6" w:space="0"/>
              <w:right w:val="nil"/>
            </w:tcBorders>
            <w:shd w:val="clear" w:color="auto" w:fill="auto"/>
            <w:noWrap/>
            <w:vAlign w:val="center"/>
          </w:tcPr>
          <w:p w14:paraId="3201DD6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kern w:val="0"/>
                <w:sz w:val="16"/>
                <w:szCs w:val="16"/>
              </w:rPr>
            </w:pPr>
            <w:r>
              <w:rPr>
                <w:rFonts w:hint="eastAsia" w:ascii="宋体" w:hAnsi="宋体" w:eastAsia="宋体" w:cs="宋体"/>
                <w:color w:val="000000"/>
                <w:kern w:val="0"/>
                <w:sz w:val="16"/>
                <w:szCs w:val="16"/>
              </w:rPr>
              <w:t>0</w:t>
            </w:r>
          </w:p>
        </w:tc>
      </w:tr>
      <w:tr w14:paraId="1BE006E8">
        <w:tblPrEx>
          <w:tblCellMar>
            <w:top w:w="0" w:type="dxa"/>
            <w:left w:w="108" w:type="dxa"/>
            <w:bottom w:w="0" w:type="dxa"/>
            <w:right w:w="108" w:type="dxa"/>
          </w:tblCellMar>
        </w:tblPrEx>
        <w:trPr>
          <w:trHeight w:val="90" w:hRule="atLeast"/>
          <w:jc w:val="center"/>
        </w:trPr>
        <w:tc>
          <w:tcPr>
            <w:tcW w:w="0" w:type="auto"/>
            <w:vMerge w:val="restart"/>
            <w:tcBorders>
              <w:top w:val="nil"/>
              <w:left w:val="nil"/>
              <w:bottom w:val="single" w:color="000000" w:sz="12" w:space="0"/>
              <w:right w:val="nil"/>
            </w:tcBorders>
            <w:shd w:val="clear" w:color="auto" w:fill="auto"/>
            <w:noWrap/>
            <w:vAlign w:val="center"/>
          </w:tcPr>
          <w:p w14:paraId="7710C4F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壮绿竹</w:t>
            </w:r>
          </w:p>
        </w:tc>
        <w:tc>
          <w:tcPr>
            <w:tcW w:w="0" w:type="auto"/>
            <w:tcBorders>
              <w:top w:val="single" w:color="auto" w:sz="6" w:space="0"/>
              <w:left w:val="nil"/>
              <w:bottom w:val="nil"/>
              <w:right w:val="nil"/>
            </w:tcBorders>
            <w:shd w:val="clear" w:color="auto" w:fill="auto"/>
            <w:noWrap/>
            <w:vAlign w:val="center"/>
          </w:tcPr>
          <w:p w14:paraId="691A35C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30</w:t>
            </w:r>
          </w:p>
        </w:tc>
        <w:tc>
          <w:tcPr>
            <w:tcW w:w="0" w:type="auto"/>
            <w:tcBorders>
              <w:top w:val="single" w:color="auto" w:sz="6" w:space="0"/>
              <w:left w:val="nil"/>
              <w:bottom w:val="nil"/>
              <w:right w:val="nil"/>
            </w:tcBorders>
            <w:shd w:val="clear" w:color="auto" w:fill="auto"/>
            <w:noWrap/>
            <w:vAlign w:val="center"/>
          </w:tcPr>
          <w:p w14:paraId="0517DAB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27.50 </w:t>
            </w:r>
          </w:p>
        </w:tc>
        <w:tc>
          <w:tcPr>
            <w:tcW w:w="0" w:type="auto"/>
            <w:tcBorders>
              <w:top w:val="single" w:color="auto" w:sz="6" w:space="0"/>
              <w:left w:val="nil"/>
              <w:bottom w:val="nil"/>
              <w:right w:val="nil"/>
            </w:tcBorders>
            <w:shd w:val="clear" w:color="auto" w:fill="auto"/>
            <w:noWrap/>
            <w:vAlign w:val="center"/>
          </w:tcPr>
          <w:p w14:paraId="12A4C7C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10.32 </w:t>
            </w:r>
          </w:p>
        </w:tc>
        <w:tc>
          <w:tcPr>
            <w:tcW w:w="0" w:type="auto"/>
            <w:tcBorders>
              <w:top w:val="single" w:color="auto" w:sz="6" w:space="0"/>
              <w:left w:val="nil"/>
              <w:bottom w:val="nil"/>
              <w:right w:val="nil"/>
            </w:tcBorders>
            <w:shd w:val="clear" w:color="auto" w:fill="auto"/>
            <w:noWrap/>
            <w:vAlign w:val="center"/>
          </w:tcPr>
          <w:p w14:paraId="7BFDB4C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1.28 </w:t>
            </w:r>
          </w:p>
        </w:tc>
        <w:tc>
          <w:tcPr>
            <w:tcW w:w="0" w:type="auto"/>
            <w:tcBorders>
              <w:top w:val="single" w:color="auto" w:sz="6" w:space="0"/>
              <w:left w:val="nil"/>
              <w:bottom w:val="nil"/>
              <w:right w:val="nil"/>
            </w:tcBorders>
            <w:shd w:val="clear" w:color="auto" w:fill="auto"/>
            <w:noWrap/>
            <w:vAlign w:val="center"/>
          </w:tcPr>
          <w:p w14:paraId="00AD68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0.75 </w:t>
            </w:r>
          </w:p>
        </w:tc>
        <w:tc>
          <w:tcPr>
            <w:tcW w:w="0" w:type="auto"/>
            <w:tcBorders>
              <w:top w:val="single" w:color="auto" w:sz="6" w:space="0"/>
              <w:left w:val="nil"/>
              <w:bottom w:val="nil"/>
              <w:right w:val="nil"/>
            </w:tcBorders>
            <w:shd w:val="clear" w:color="auto" w:fill="auto"/>
            <w:noWrap/>
            <w:vAlign w:val="center"/>
          </w:tcPr>
          <w:p w14:paraId="28750D5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59.60 </w:t>
            </w:r>
          </w:p>
        </w:tc>
      </w:tr>
      <w:tr w14:paraId="48BB3422">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single" w:color="000000" w:sz="12" w:space="0"/>
              <w:right w:val="nil"/>
            </w:tcBorders>
            <w:shd w:val="clear" w:color="auto" w:fill="auto"/>
            <w:noWrap/>
            <w:vAlign w:val="center"/>
          </w:tcPr>
          <w:p w14:paraId="2BAB9DBA">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7F3997F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40</w:t>
            </w:r>
          </w:p>
        </w:tc>
        <w:tc>
          <w:tcPr>
            <w:tcW w:w="0" w:type="auto"/>
            <w:tcBorders>
              <w:top w:val="nil"/>
              <w:left w:val="nil"/>
              <w:bottom w:val="nil"/>
              <w:right w:val="nil"/>
            </w:tcBorders>
            <w:shd w:val="clear" w:color="auto" w:fill="auto"/>
            <w:noWrap/>
            <w:vAlign w:val="center"/>
          </w:tcPr>
          <w:p w14:paraId="52D205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35.15 </w:t>
            </w:r>
          </w:p>
        </w:tc>
        <w:tc>
          <w:tcPr>
            <w:tcW w:w="0" w:type="auto"/>
            <w:tcBorders>
              <w:top w:val="nil"/>
              <w:left w:val="nil"/>
              <w:bottom w:val="nil"/>
              <w:right w:val="nil"/>
            </w:tcBorders>
            <w:shd w:val="clear" w:color="auto" w:fill="auto"/>
            <w:noWrap/>
            <w:vAlign w:val="center"/>
          </w:tcPr>
          <w:p w14:paraId="28ED3A5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11.00 </w:t>
            </w:r>
          </w:p>
        </w:tc>
        <w:tc>
          <w:tcPr>
            <w:tcW w:w="0" w:type="auto"/>
            <w:tcBorders>
              <w:top w:val="nil"/>
              <w:left w:val="nil"/>
              <w:bottom w:val="nil"/>
              <w:right w:val="nil"/>
            </w:tcBorders>
            <w:shd w:val="clear" w:color="auto" w:fill="auto"/>
            <w:noWrap/>
            <w:vAlign w:val="center"/>
          </w:tcPr>
          <w:p w14:paraId="38A8A0C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1.68 </w:t>
            </w:r>
          </w:p>
        </w:tc>
        <w:tc>
          <w:tcPr>
            <w:tcW w:w="0" w:type="auto"/>
            <w:tcBorders>
              <w:top w:val="nil"/>
              <w:left w:val="nil"/>
              <w:bottom w:val="nil"/>
              <w:right w:val="nil"/>
            </w:tcBorders>
            <w:shd w:val="clear" w:color="auto" w:fill="auto"/>
            <w:noWrap/>
            <w:vAlign w:val="center"/>
          </w:tcPr>
          <w:p w14:paraId="57BF5B4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0.87 </w:t>
            </w:r>
          </w:p>
        </w:tc>
        <w:tc>
          <w:tcPr>
            <w:tcW w:w="0" w:type="auto"/>
            <w:tcBorders>
              <w:top w:val="nil"/>
              <w:left w:val="nil"/>
              <w:bottom w:val="nil"/>
              <w:right w:val="nil"/>
            </w:tcBorders>
            <w:shd w:val="clear" w:color="auto" w:fill="auto"/>
            <w:noWrap/>
            <w:vAlign w:val="center"/>
          </w:tcPr>
          <w:p w14:paraId="7754EF6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51.64 </w:t>
            </w:r>
          </w:p>
        </w:tc>
      </w:tr>
      <w:tr w14:paraId="5BD58FEC">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single" w:color="000000" w:sz="12" w:space="0"/>
              <w:right w:val="nil"/>
            </w:tcBorders>
            <w:shd w:val="clear" w:color="auto" w:fill="auto"/>
            <w:noWrap/>
            <w:vAlign w:val="center"/>
          </w:tcPr>
          <w:p w14:paraId="14AF462C">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3F501C1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50</w:t>
            </w:r>
          </w:p>
        </w:tc>
        <w:tc>
          <w:tcPr>
            <w:tcW w:w="0" w:type="auto"/>
            <w:tcBorders>
              <w:top w:val="nil"/>
              <w:left w:val="nil"/>
              <w:bottom w:val="nil"/>
              <w:right w:val="nil"/>
            </w:tcBorders>
            <w:shd w:val="clear" w:color="auto" w:fill="auto"/>
            <w:noWrap/>
            <w:vAlign w:val="center"/>
          </w:tcPr>
          <w:p w14:paraId="5F77A7D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44.36 </w:t>
            </w:r>
          </w:p>
        </w:tc>
        <w:tc>
          <w:tcPr>
            <w:tcW w:w="0" w:type="auto"/>
            <w:tcBorders>
              <w:top w:val="nil"/>
              <w:left w:val="nil"/>
              <w:bottom w:val="nil"/>
              <w:right w:val="nil"/>
            </w:tcBorders>
            <w:shd w:val="clear" w:color="auto" w:fill="auto"/>
            <w:noWrap/>
            <w:vAlign w:val="center"/>
          </w:tcPr>
          <w:p w14:paraId="0CEE9A7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10.85 </w:t>
            </w:r>
          </w:p>
        </w:tc>
        <w:tc>
          <w:tcPr>
            <w:tcW w:w="0" w:type="auto"/>
            <w:tcBorders>
              <w:top w:val="nil"/>
              <w:left w:val="nil"/>
              <w:bottom w:val="nil"/>
              <w:right w:val="nil"/>
            </w:tcBorders>
            <w:shd w:val="clear" w:color="auto" w:fill="auto"/>
            <w:noWrap/>
            <w:vAlign w:val="center"/>
          </w:tcPr>
          <w:p w14:paraId="5FE9E1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1.83 </w:t>
            </w:r>
          </w:p>
        </w:tc>
        <w:tc>
          <w:tcPr>
            <w:tcW w:w="0" w:type="auto"/>
            <w:tcBorders>
              <w:top w:val="nil"/>
              <w:left w:val="nil"/>
              <w:bottom w:val="nil"/>
              <w:right w:val="nil"/>
            </w:tcBorders>
            <w:shd w:val="clear" w:color="auto" w:fill="auto"/>
            <w:noWrap/>
            <w:vAlign w:val="center"/>
          </w:tcPr>
          <w:p w14:paraId="1F8AEF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0.90 </w:t>
            </w:r>
          </w:p>
        </w:tc>
        <w:tc>
          <w:tcPr>
            <w:tcW w:w="0" w:type="auto"/>
            <w:tcBorders>
              <w:top w:val="nil"/>
              <w:left w:val="nil"/>
              <w:bottom w:val="nil"/>
              <w:right w:val="nil"/>
            </w:tcBorders>
            <w:shd w:val="clear" w:color="auto" w:fill="auto"/>
            <w:noWrap/>
            <w:vAlign w:val="center"/>
          </w:tcPr>
          <w:p w14:paraId="53BF324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48.41 </w:t>
            </w:r>
          </w:p>
        </w:tc>
      </w:tr>
      <w:tr w14:paraId="5141BCF7">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single" w:color="000000" w:sz="12" w:space="0"/>
              <w:right w:val="nil"/>
            </w:tcBorders>
            <w:shd w:val="clear" w:color="auto" w:fill="auto"/>
            <w:noWrap/>
            <w:vAlign w:val="center"/>
          </w:tcPr>
          <w:p w14:paraId="0473DB73">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1A05EBD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60</w:t>
            </w:r>
          </w:p>
        </w:tc>
        <w:tc>
          <w:tcPr>
            <w:tcW w:w="0" w:type="auto"/>
            <w:tcBorders>
              <w:top w:val="nil"/>
              <w:left w:val="nil"/>
              <w:bottom w:val="nil"/>
              <w:right w:val="nil"/>
            </w:tcBorders>
            <w:shd w:val="clear" w:color="auto" w:fill="auto"/>
            <w:noWrap/>
            <w:vAlign w:val="center"/>
          </w:tcPr>
          <w:p w14:paraId="4D40AA1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54.65 </w:t>
            </w:r>
          </w:p>
        </w:tc>
        <w:tc>
          <w:tcPr>
            <w:tcW w:w="0" w:type="auto"/>
            <w:tcBorders>
              <w:top w:val="nil"/>
              <w:left w:val="nil"/>
              <w:bottom w:val="nil"/>
              <w:right w:val="nil"/>
            </w:tcBorders>
            <w:shd w:val="clear" w:color="auto" w:fill="auto"/>
            <w:noWrap/>
            <w:vAlign w:val="center"/>
          </w:tcPr>
          <w:p w14:paraId="62604FE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11.51 </w:t>
            </w:r>
          </w:p>
        </w:tc>
        <w:tc>
          <w:tcPr>
            <w:tcW w:w="0" w:type="auto"/>
            <w:tcBorders>
              <w:top w:val="nil"/>
              <w:left w:val="nil"/>
              <w:bottom w:val="nil"/>
              <w:right w:val="nil"/>
            </w:tcBorders>
            <w:shd w:val="clear" w:color="auto" w:fill="auto"/>
            <w:noWrap/>
            <w:vAlign w:val="center"/>
          </w:tcPr>
          <w:p w14:paraId="1C6110C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2.34 </w:t>
            </w:r>
          </w:p>
        </w:tc>
        <w:tc>
          <w:tcPr>
            <w:tcW w:w="0" w:type="auto"/>
            <w:tcBorders>
              <w:top w:val="nil"/>
              <w:left w:val="nil"/>
              <w:bottom w:val="nil"/>
              <w:right w:val="nil"/>
            </w:tcBorders>
            <w:shd w:val="clear" w:color="auto" w:fill="auto"/>
            <w:noWrap/>
            <w:vAlign w:val="center"/>
          </w:tcPr>
          <w:p w14:paraId="2A7F7FE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0.98 </w:t>
            </w:r>
          </w:p>
        </w:tc>
        <w:tc>
          <w:tcPr>
            <w:tcW w:w="0" w:type="auto"/>
            <w:tcBorders>
              <w:top w:val="nil"/>
              <w:left w:val="nil"/>
              <w:bottom w:val="nil"/>
              <w:right w:val="nil"/>
            </w:tcBorders>
            <w:shd w:val="clear" w:color="auto" w:fill="auto"/>
            <w:noWrap/>
            <w:vAlign w:val="center"/>
          </w:tcPr>
          <w:p w14:paraId="1163241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40.76 </w:t>
            </w:r>
          </w:p>
        </w:tc>
      </w:tr>
      <w:tr w14:paraId="1F19E0A9">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single" w:color="000000" w:sz="12" w:space="0"/>
              <w:right w:val="nil"/>
            </w:tcBorders>
            <w:shd w:val="clear" w:color="auto" w:fill="auto"/>
            <w:noWrap/>
            <w:vAlign w:val="center"/>
          </w:tcPr>
          <w:p w14:paraId="5C063B80">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54B7A79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70</w:t>
            </w:r>
          </w:p>
        </w:tc>
        <w:tc>
          <w:tcPr>
            <w:tcW w:w="0" w:type="auto"/>
            <w:tcBorders>
              <w:top w:val="nil"/>
              <w:left w:val="nil"/>
              <w:bottom w:val="nil"/>
              <w:right w:val="nil"/>
            </w:tcBorders>
            <w:shd w:val="clear" w:color="auto" w:fill="auto"/>
            <w:noWrap/>
            <w:vAlign w:val="center"/>
          </w:tcPr>
          <w:p w14:paraId="1CD40B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64.31 </w:t>
            </w:r>
          </w:p>
        </w:tc>
        <w:tc>
          <w:tcPr>
            <w:tcW w:w="0" w:type="auto"/>
            <w:tcBorders>
              <w:top w:val="nil"/>
              <w:left w:val="nil"/>
              <w:bottom w:val="nil"/>
              <w:right w:val="nil"/>
            </w:tcBorders>
            <w:shd w:val="clear" w:color="auto" w:fill="auto"/>
            <w:noWrap/>
            <w:vAlign w:val="center"/>
          </w:tcPr>
          <w:p w14:paraId="7ED8064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12.28 </w:t>
            </w:r>
          </w:p>
        </w:tc>
        <w:tc>
          <w:tcPr>
            <w:tcW w:w="0" w:type="auto"/>
            <w:tcBorders>
              <w:top w:val="nil"/>
              <w:left w:val="nil"/>
              <w:bottom w:val="nil"/>
              <w:right w:val="nil"/>
            </w:tcBorders>
            <w:shd w:val="clear" w:color="auto" w:fill="auto"/>
            <w:noWrap/>
            <w:vAlign w:val="center"/>
          </w:tcPr>
          <w:p w14:paraId="260118D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3.21 </w:t>
            </w:r>
          </w:p>
        </w:tc>
        <w:tc>
          <w:tcPr>
            <w:tcW w:w="0" w:type="auto"/>
            <w:tcBorders>
              <w:top w:val="nil"/>
              <w:left w:val="nil"/>
              <w:bottom w:val="nil"/>
              <w:right w:val="nil"/>
            </w:tcBorders>
            <w:shd w:val="clear" w:color="auto" w:fill="auto"/>
            <w:noWrap/>
            <w:vAlign w:val="center"/>
          </w:tcPr>
          <w:p w14:paraId="119D1C5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1.28 </w:t>
            </w:r>
          </w:p>
        </w:tc>
        <w:tc>
          <w:tcPr>
            <w:tcW w:w="0" w:type="auto"/>
            <w:tcBorders>
              <w:top w:val="nil"/>
              <w:left w:val="nil"/>
              <w:bottom w:val="nil"/>
              <w:right w:val="nil"/>
            </w:tcBorders>
            <w:shd w:val="clear" w:color="auto" w:fill="auto"/>
            <w:noWrap/>
            <w:vAlign w:val="center"/>
          </w:tcPr>
          <w:p w14:paraId="0E505B0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42.29 </w:t>
            </w:r>
          </w:p>
        </w:tc>
      </w:tr>
      <w:tr w14:paraId="500A3F6D">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single" w:color="000000" w:sz="12" w:space="0"/>
              <w:right w:val="nil"/>
            </w:tcBorders>
            <w:shd w:val="clear" w:color="auto" w:fill="auto"/>
            <w:noWrap/>
            <w:vAlign w:val="center"/>
          </w:tcPr>
          <w:p w14:paraId="631282C4">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55EBBC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80</w:t>
            </w:r>
          </w:p>
        </w:tc>
        <w:tc>
          <w:tcPr>
            <w:tcW w:w="0" w:type="auto"/>
            <w:tcBorders>
              <w:top w:val="nil"/>
              <w:left w:val="nil"/>
              <w:bottom w:val="nil"/>
              <w:right w:val="nil"/>
            </w:tcBorders>
            <w:shd w:val="clear" w:color="auto" w:fill="auto"/>
            <w:noWrap/>
            <w:vAlign w:val="center"/>
          </w:tcPr>
          <w:p w14:paraId="09C7775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72.71 </w:t>
            </w:r>
          </w:p>
        </w:tc>
        <w:tc>
          <w:tcPr>
            <w:tcW w:w="0" w:type="auto"/>
            <w:tcBorders>
              <w:top w:val="nil"/>
              <w:left w:val="nil"/>
              <w:bottom w:val="nil"/>
              <w:right w:val="nil"/>
            </w:tcBorders>
            <w:shd w:val="clear" w:color="auto" w:fill="auto"/>
            <w:noWrap/>
            <w:vAlign w:val="center"/>
          </w:tcPr>
          <w:p w14:paraId="4FE1ED9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11.43 </w:t>
            </w:r>
          </w:p>
        </w:tc>
        <w:tc>
          <w:tcPr>
            <w:tcW w:w="0" w:type="auto"/>
            <w:tcBorders>
              <w:top w:val="nil"/>
              <w:left w:val="nil"/>
              <w:bottom w:val="nil"/>
              <w:right w:val="nil"/>
            </w:tcBorders>
            <w:shd w:val="clear" w:color="auto" w:fill="auto"/>
            <w:noWrap/>
            <w:vAlign w:val="center"/>
          </w:tcPr>
          <w:p w14:paraId="2CCF5FA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3.23 </w:t>
            </w:r>
          </w:p>
        </w:tc>
        <w:tc>
          <w:tcPr>
            <w:tcW w:w="0" w:type="auto"/>
            <w:tcBorders>
              <w:top w:val="nil"/>
              <w:left w:val="nil"/>
              <w:bottom w:val="nil"/>
              <w:right w:val="nil"/>
            </w:tcBorders>
            <w:shd w:val="clear" w:color="auto" w:fill="auto"/>
            <w:noWrap/>
            <w:vAlign w:val="center"/>
          </w:tcPr>
          <w:p w14:paraId="1FB565B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1.27 </w:t>
            </w:r>
          </w:p>
        </w:tc>
        <w:tc>
          <w:tcPr>
            <w:tcW w:w="0" w:type="auto"/>
            <w:tcBorders>
              <w:top w:val="nil"/>
              <w:left w:val="nil"/>
              <w:bottom w:val="nil"/>
              <w:right w:val="nil"/>
            </w:tcBorders>
            <w:shd w:val="clear" w:color="auto" w:fill="auto"/>
            <w:noWrap/>
            <w:vAlign w:val="center"/>
          </w:tcPr>
          <w:p w14:paraId="2F14C99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40.09 </w:t>
            </w:r>
          </w:p>
        </w:tc>
      </w:tr>
      <w:tr w14:paraId="3F93C2CE">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single" w:color="000000" w:sz="12" w:space="0"/>
              <w:right w:val="nil"/>
            </w:tcBorders>
            <w:shd w:val="clear" w:color="auto" w:fill="auto"/>
            <w:noWrap/>
            <w:vAlign w:val="center"/>
          </w:tcPr>
          <w:p w14:paraId="3D7DC2AF">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nil"/>
              <w:right w:val="nil"/>
            </w:tcBorders>
            <w:shd w:val="clear" w:color="auto" w:fill="auto"/>
            <w:noWrap/>
            <w:vAlign w:val="center"/>
          </w:tcPr>
          <w:p w14:paraId="7328297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90</w:t>
            </w:r>
          </w:p>
        </w:tc>
        <w:tc>
          <w:tcPr>
            <w:tcW w:w="0" w:type="auto"/>
            <w:tcBorders>
              <w:top w:val="nil"/>
              <w:left w:val="nil"/>
              <w:bottom w:val="nil"/>
              <w:right w:val="nil"/>
            </w:tcBorders>
            <w:shd w:val="clear" w:color="auto" w:fill="auto"/>
            <w:noWrap/>
            <w:vAlign w:val="center"/>
          </w:tcPr>
          <w:p w14:paraId="0A3795A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83.80 </w:t>
            </w:r>
          </w:p>
        </w:tc>
        <w:tc>
          <w:tcPr>
            <w:tcW w:w="0" w:type="auto"/>
            <w:tcBorders>
              <w:top w:val="nil"/>
              <w:left w:val="nil"/>
              <w:bottom w:val="nil"/>
              <w:right w:val="nil"/>
            </w:tcBorders>
            <w:shd w:val="clear" w:color="auto" w:fill="auto"/>
            <w:noWrap/>
            <w:vAlign w:val="center"/>
          </w:tcPr>
          <w:p w14:paraId="6F944ED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13.30 </w:t>
            </w:r>
          </w:p>
        </w:tc>
        <w:tc>
          <w:tcPr>
            <w:tcW w:w="0" w:type="auto"/>
            <w:tcBorders>
              <w:top w:val="nil"/>
              <w:left w:val="nil"/>
              <w:bottom w:val="nil"/>
              <w:right w:val="nil"/>
            </w:tcBorders>
            <w:shd w:val="clear" w:color="auto" w:fill="auto"/>
            <w:noWrap/>
            <w:vAlign w:val="center"/>
          </w:tcPr>
          <w:p w14:paraId="43BB5A8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4.42 </w:t>
            </w:r>
          </w:p>
        </w:tc>
        <w:tc>
          <w:tcPr>
            <w:tcW w:w="0" w:type="auto"/>
            <w:tcBorders>
              <w:top w:val="nil"/>
              <w:left w:val="nil"/>
              <w:bottom w:val="nil"/>
              <w:right w:val="nil"/>
            </w:tcBorders>
            <w:shd w:val="clear" w:color="auto" w:fill="auto"/>
            <w:noWrap/>
            <w:vAlign w:val="center"/>
          </w:tcPr>
          <w:p w14:paraId="4093497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1.31 </w:t>
            </w:r>
          </w:p>
        </w:tc>
        <w:tc>
          <w:tcPr>
            <w:tcW w:w="0" w:type="auto"/>
            <w:tcBorders>
              <w:top w:val="nil"/>
              <w:left w:val="nil"/>
              <w:bottom w:val="nil"/>
              <w:right w:val="nil"/>
            </w:tcBorders>
            <w:shd w:val="clear" w:color="auto" w:fill="auto"/>
            <w:noWrap/>
            <w:vAlign w:val="center"/>
          </w:tcPr>
          <w:p w14:paraId="0C3719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30.73 </w:t>
            </w:r>
          </w:p>
        </w:tc>
      </w:tr>
      <w:tr w14:paraId="1018E9D2">
        <w:tblPrEx>
          <w:tblCellMar>
            <w:top w:w="0" w:type="dxa"/>
            <w:left w:w="108" w:type="dxa"/>
            <w:bottom w:w="0" w:type="dxa"/>
            <w:right w:w="108" w:type="dxa"/>
          </w:tblCellMar>
        </w:tblPrEx>
        <w:trPr>
          <w:trHeight w:val="90" w:hRule="atLeast"/>
          <w:jc w:val="center"/>
        </w:trPr>
        <w:tc>
          <w:tcPr>
            <w:tcW w:w="0" w:type="auto"/>
            <w:vMerge w:val="continue"/>
            <w:tcBorders>
              <w:top w:val="nil"/>
              <w:left w:val="nil"/>
              <w:bottom w:val="single" w:color="000000" w:sz="12" w:space="0"/>
              <w:right w:val="nil"/>
            </w:tcBorders>
            <w:shd w:val="clear" w:color="auto" w:fill="auto"/>
            <w:noWrap/>
            <w:vAlign w:val="center"/>
          </w:tcPr>
          <w:p w14:paraId="52D62B51">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0" w:type="auto"/>
            <w:tcBorders>
              <w:top w:val="nil"/>
              <w:left w:val="nil"/>
              <w:bottom w:val="single" w:color="000000" w:sz="12" w:space="0"/>
              <w:right w:val="nil"/>
            </w:tcBorders>
            <w:shd w:val="clear" w:color="auto" w:fill="auto"/>
            <w:noWrap/>
            <w:vAlign w:val="center"/>
          </w:tcPr>
          <w:p w14:paraId="020F214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显著性</w:t>
            </w:r>
          </w:p>
        </w:tc>
        <w:tc>
          <w:tcPr>
            <w:tcW w:w="0" w:type="auto"/>
            <w:tcBorders>
              <w:top w:val="nil"/>
              <w:left w:val="nil"/>
              <w:bottom w:val="single" w:color="000000" w:sz="12" w:space="0"/>
              <w:right w:val="nil"/>
            </w:tcBorders>
            <w:shd w:val="clear" w:color="auto" w:fill="auto"/>
            <w:noWrap/>
            <w:vAlign w:val="center"/>
          </w:tcPr>
          <w:p w14:paraId="0C6C351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w:t>
            </w:r>
          </w:p>
        </w:tc>
        <w:tc>
          <w:tcPr>
            <w:tcW w:w="0" w:type="auto"/>
            <w:tcBorders>
              <w:top w:val="nil"/>
              <w:left w:val="nil"/>
              <w:bottom w:val="single" w:color="000000" w:sz="12" w:space="0"/>
              <w:right w:val="nil"/>
            </w:tcBorders>
            <w:shd w:val="clear" w:color="auto" w:fill="auto"/>
            <w:noWrap/>
            <w:vAlign w:val="center"/>
          </w:tcPr>
          <w:p w14:paraId="3AD0E0BA">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0.119</w:t>
            </w:r>
          </w:p>
        </w:tc>
        <w:tc>
          <w:tcPr>
            <w:tcW w:w="0" w:type="auto"/>
            <w:tcBorders>
              <w:top w:val="nil"/>
              <w:left w:val="nil"/>
              <w:bottom w:val="single" w:color="000000" w:sz="12" w:space="0"/>
              <w:right w:val="nil"/>
            </w:tcBorders>
            <w:shd w:val="clear" w:color="auto" w:fill="auto"/>
            <w:noWrap/>
            <w:vAlign w:val="center"/>
          </w:tcPr>
          <w:p w14:paraId="7FCF442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w:t>
            </w:r>
          </w:p>
        </w:tc>
        <w:tc>
          <w:tcPr>
            <w:tcW w:w="0" w:type="auto"/>
            <w:tcBorders>
              <w:top w:val="nil"/>
              <w:left w:val="nil"/>
              <w:bottom w:val="single" w:color="000000" w:sz="12" w:space="0"/>
              <w:right w:val="nil"/>
            </w:tcBorders>
            <w:shd w:val="clear" w:color="auto" w:fill="auto"/>
            <w:noWrap/>
            <w:vAlign w:val="center"/>
          </w:tcPr>
          <w:p w14:paraId="728BAE2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0.038</w:t>
            </w:r>
          </w:p>
        </w:tc>
        <w:tc>
          <w:tcPr>
            <w:tcW w:w="0" w:type="auto"/>
            <w:tcBorders>
              <w:top w:val="nil"/>
              <w:left w:val="nil"/>
              <w:bottom w:val="single" w:color="000000" w:sz="12" w:space="0"/>
              <w:right w:val="nil"/>
            </w:tcBorders>
            <w:shd w:val="clear" w:color="auto" w:fill="auto"/>
            <w:noWrap/>
            <w:vAlign w:val="center"/>
          </w:tcPr>
          <w:p w14:paraId="27929B1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0.02</w:t>
            </w:r>
          </w:p>
        </w:tc>
      </w:tr>
    </w:tbl>
    <w:p w14:paraId="1CF8527A">
      <w:pPr>
        <w:overflowPunct w:val="0"/>
        <w:topLinePunct/>
        <w:spacing w:line="560" w:lineRule="exact"/>
        <w:jc w:val="center"/>
        <w:rPr>
          <w:rFonts w:eastAsia="仿宋_GB2312"/>
          <w:sz w:val="24"/>
          <w:szCs w:val="24"/>
        </w:rPr>
      </w:pPr>
      <w:r>
        <w:rPr>
          <w:rFonts w:hint="eastAsia" w:ascii="仿宋_GB2312" w:hAnsi="仿宋_GB2312" w:eastAsia="仿宋_GB2312" w:cs="仿宋_GB2312"/>
          <w:sz w:val="24"/>
          <w:szCs w:val="24"/>
        </w:rPr>
        <w:t>表</w:t>
      </w:r>
      <w:r>
        <w:rPr>
          <w:rFonts w:hint="eastAsia" w:ascii="仿宋_GB2312" w:hAnsi="仿宋_GB2312" w:eastAsia="仿宋_GB2312" w:cs="仿宋_GB2312"/>
          <w:sz w:val="24"/>
          <w:szCs w:val="24"/>
          <w:lang w:val="en-US" w:eastAsia="zh-CN"/>
        </w:rPr>
        <w:t>3</w:t>
      </w:r>
      <w:r>
        <w:rPr>
          <w:rFonts w:hint="eastAsia" w:ascii="仿宋_GB2312" w:hAnsi="仿宋_GB2312" w:eastAsia="仿宋_GB2312" w:cs="仿宋_GB2312"/>
          <w:sz w:val="24"/>
          <w:szCs w:val="24"/>
        </w:rPr>
        <w:t xml:space="preserve"> 不同竹种地径等级与笋高、地径、笋种及可食率的关系</w:t>
      </w:r>
    </w:p>
    <w:tbl>
      <w:tblPr>
        <w:tblStyle w:val="8"/>
        <w:tblW w:w="0" w:type="auto"/>
        <w:jc w:val="center"/>
        <w:tblLayout w:type="fixed"/>
        <w:tblCellMar>
          <w:top w:w="0" w:type="dxa"/>
          <w:left w:w="108" w:type="dxa"/>
          <w:bottom w:w="0" w:type="dxa"/>
          <w:right w:w="108" w:type="dxa"/>
        </w:tblCellMar>
      </w:tblPr>
      <w:tblGrid>
        <w:gridCol w:w="856"/>
        <w:gridCol w:w="1096"/>
        <w:gridCol w:w="1096"/>
        <w:gridCol w:w="1256"/>
        <w:gridCol w:w="1416"/>
        <w:gridCol w:w="1416"/>
        <w:gridCol w:w="1016"/>
      </w:tblGrid>
      <w:tr w14:paraId="1CF65528">
        <w:tblPrEx>
          <w:tblCellMar>
            <w:top w:w="0" w:type="dxa"/>
            <w:left w:w="108" w:type="dxa"/>
            <w:bottom w:w="0" w:type="dxa"/>
            <w:right w:w="108" w:type="dxa"/>
          </w:tblCellMar>
        </w:tblPrEx>
        <w:trPr>
          <w:trHeight w:val="345" w:hRule="atLeast"/>
          <w:jc w:val="center"/>
        </w:trPr>
        <w:tc>
          <w:tcPr>
            <w:tcW w:w="856" w:type="dxa"/>
            <w:tcBorders>
              <w:top w:val="single" w:color="000000" w:sz="12" w:space="0"/>
              <w:left w:val="nil"/>
              <w:bottom w:val="single" w:color="000000" w:sz="12" w:space="0"/>
              <w:right w:val="nil"/>
            </w:tcBorders>
            <w:shd w:val="clear" w:color="auto" w:fill="auto"/>
            <w:noWrap/>
            <w:vAlign w:val="center"/>
          </w:tcPr>
          <w:p w14:paraId="02EDF69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竹种</w:t>
            </w:r>
          </w:p>
        </w:tc>
        <w:tc>
          <w:tcPr>
            <w:tcW w:w="1096" w:type="dxa"/>
            <w:tcBorders>
              <w:top w:val="single" w:color="000000" w:sz="12" w:space="0"/>
              <w:left w:val="nil"/>
              <w:bottom w:val="single" w:color="000000" w:sz="12" w:space="0"/>
              <w:right w:val="nil"/>
            </w:tcBorders>
            <w:shd w:val="clear" w:color="auto" w:fill="auto"/>
            <w:noWrap/>
            <w:vAlign w:val="center"/>
          </w:tcPr>
          <w:p w14:paraId="4CE25FC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基径等级/cm</w:t>
            </w:r>
          </w:p>
        </w:tc>
        <w:tc>
          <w:tcPr>
            <w:tcW w:w="1096" w:type="dxa"/>
            <w:tcBorders>
              <w:top w:val="single" w:color="000000" w:sz="12" w:space="0"/>
              <w:left w:val="nil"/>
              <w:bottom w:val="single" w:color="000000" w:sz="12" w:space="0"/>
              <w:right w:val="nil"/>
            </w:tcBorders>
            <w:shd w:val="clear" w:color="auto" w:fill="auto"/>
            <w:noWrap/>
            <w:vAlign w:val="center"/>
          </w:tcPr>
          <w:p w14:paraId="786CC72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笋高均值/cm</w:t>
            </w:r>
          </w:p>
        </w:tc>
        <w:tc>
          <w:tcPr>
            <w:tcW w:w="1256" w:type="dxa"/>
            <w:tcBorders>
              <w:top w:val="single" w:color="000000" w:sz="12" w:space="0"/>
              <w:left w:val="nil"/>
              <w:bottom w:val="single" w:color="000000" w:sz="12" w:space="0"/>
              <w:right w:val="nil"/>
            </w:tcBorders>
            <w:shd w:val="clear" w:color="auto" w:fill="auto"/>
            <w:noWrap/>
            <w:vAlign w:val="center"/>
          </w:tcPr>
          <w:p w14:paraId="6E21E27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笋基径均值/cm</w:t>
            </w:r>
          </w:p>
        </w:tc>
        <w:tc>
          <w:tcPr>
            <w:tcW w:w="1416" w:type="dxa"/>
            <w:tcBorders>
              <w:top w:val="single" w:color="000000" w:sz="12" w:space="0"/>
              <w:left w:val="nil"/>
              <w:bottom w:val="single" w:color="000000" w:sz="12" w:space="0"/>
              <w:right w:val="nil"/>
            </w:tcBorders>
            <w:shd w:val="clear" w:color="auto" w:fill="auto"/>
            <w:noWrap/>
            <w:vAlign w:val="center"/>
          </w:tcPr>
          <w:p w14:paraId="1D88C9E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带皮笋重均值/kg</w:t>
            </w:r>
          </w:p>
        </w:tc>
        <w:tc>
          <w:tcPr>
            <w:tcW w:w="1416" w:type="dxa"/>
            <w:tcBorders>
              <w:top w:val="single" w:color="000000" w:sz="12" w:space="0"/>
              <w:left w:val="nil"/>
              <w:bottom w:val="single" w:color="000000" w:sz="12" w:space="0"/>
              <w:right w:val="nil"/>
            </w:tcBorders>
            <w:shd w:val="clear" w:color="auto" w:fill="auto"/>
            <w:noWrap/>
            <w:vAlign w:val="center"/>
          </w:tcPr>
          <w:p w14:paraId="75DB768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可食用重均值/kg</w:t>
            </w:r>
          </w:p>
        </w:tc>
        <w:tc>
          <w:tcPr>
            <w:tcW w:w="1016" w:type="dxa"/>
            <w:tcBorders>
              <w:top w:val="single" w:color="000000" w:sz="12" w:space="0"/>
              <w:left w:val="nil"/>
              <w:bottom w:val="single" w:color="000000" w:sz="12" w:space="0"/>
              <w:right w:val="nil"/>
            </w:tcBorders>
            <w:shd w:val="clear" w:color="auto" w:fill="auto"/>
            <w:noWrap/>
            <w:vAlign w:val="center"/>
          </w:tcPr>
          <w:p w14:paraId="63F08E6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可食用率/%</w:t>
            </w:r>
          </w:p>
        </w:tc>
      </w:tr>
      <w:tr w14:paraId="390E87D1">
        <w:tblPrEx>
          <w:tblCellMar>
            <w:top w:w="0" w:type="dxa"/>
            <w:left w:w="108" w:type="dxa"/>
            <w:bottom w:w="0" w:type="dxa"/>
            <w:right w:w="108" w:type="dxa"/>
          </w:tblCellMar>
        </w:tblPrEx>
        <w:trPr>
          <w:trHeight w:val="330" w:hRule="atLeast"/>
          <w:jc w:val="center"/>
        </w:trPr>
        <w:tc>
          <w:tcPr>
            <w:tcW w:w="856" w:type="dxa"/>
            <w:vMerge w:val="restart"/>
            <w:tcBorders>
              <w:top w:val="nil"/>
              <w:left w:val="nil"/>
              <w:bottom w:val="nil"/>
              <w:right w:val="nil"/>
            </w:tcBorders>
            <w:shd w:val="clear" w:color="auto" w:fill="auto"/>
            <w:noWrap/>
            <w:vAlign w:val="center"/>
          </w:tcPr>
          <w:p w14:paraId="240BF065">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麻竹</w:t>
            </w:r>
          </w:p>
        </w:tc>
        <w:tc>
          <w:tcPr>
            <w:tcW w:w="1096" w:type="dxa"/>
            <w:tcBorders>
              <w:top w:val="nil"/>
              <w:left w:val="nil"/>
              <w:bottom w:val="nil"/>
              <w:right w:val="nil"/>
            </w:tcBorders>
            <w:shd w:val="clear" w:color="auto" w:fill="auto"/>
            <w:noWrap/>
            <w:vAlign w:val="center"/>
          </w:tcPr>
          <w:p w14:paraId="745C638D">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10</w:t>
            </w:r>
          </w:p>
        </w:tc>
        <w:tc>
          <w:tcPr>
            <w:tcW w:w="1096" w:type="dxa"/>
            <w:tcBorders>
              <w:top w:val="nil"/>
              <w:left w:val="nil"/>
              <w:bottom w:val="nil"/>
              <w:right w:val="nil"/>
            </w:tcBorders>
            <w:shd w:val="clear" w:color="auto" w:fill="auto"/>
            <w:noWrap/>
            <w:vAlign w:val="center"/>
          </w:tcPr>
          <w:p w14:paraId="2DB8963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42.18 </w:t>
            </w:r>
          </w:p>
        </w:tc>
        <w:tc>
          <w:tcPr>
            <w:tcW w:w="1256" w:type="dxa"/>
            <w:tcBorders>
              <w:top w:val="nil"/>
              <w:left w:val="nil"/>
              <w:bottom w:val="nil"/>
              <w:right w:val="nil"/>
            </w:tcBorders>
            <w:shd w:val="clear" w:color="auto" w:fill="auto"/>
            <w:noWrap/>
            <w:vAlign w:val="center"/>
          </w:tcPr>
          <w:p w14:paraId="2D3F9D73">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9.05 </w:t>
            </w:r>
          </w:p>
        </w:tc>
        <w:tc>
          <w:tcPr>
            <w:tcW w:w="1416" w:type="dxa"/>
            <w:tcBorders>
              <w:top w:val="nil"/>
              <w:left w:val="nil"/>
              <w:bottom w:val="nil"/>
              <w:right w:val="nil"/>
            </w:tcBorders>
            <w:shd w:val="clear" w:color="auto" w:fill="auto"/>
            <w:noWrap/>
            <w:vAlign w:val="center"/>
          </w:tcPr>
          <w:p w14:paraId="4898C3A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1.25 </w:t>
            </w:r>
          </w:p>
        </w:tc>
        <w:tc>
          <w:tcPr>
            <w:tcW w:w="1416" w:type="dxa"/>
            <w:tcBorders>
              <w:top w:val="nil"/>
              <w:left w:val="nil"/>
              <w:bottom w:val="nil"/>
              <w:right w:val="nil"/>
            </w:tcBorders>
            <w:shd w:val="clear" w:color="auto" w:fill="auto"/>
            <w:noWrap/>
            <w:vAlign w:val="center"/>
          </w:tcPr>
          <w:p w14:paraId="2A54423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0.53 </w:t>
            </w:r>
          </w:p>
        </w:tc>
        <w:tc>
          <w:tcPr>
            <w:tcW w:w="1016" w:type="dxa"/>
            <w:tcBorders>
              <w:top w:val="nil"/>
              <w:left w:val="nil"/>
              <w:bottom w:val="nil"/>
              <w:right w:val="nil"/>
            </w:tcBorders>
            <w:shd w:val="clear" w:color="auto" w:fill="auto"/>
            <w:noWrap/>
            <w:vAlign w:val="center"/>
          </w:tcPr>
          <w:p w14:paraId="0CABB84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42.71 </w:t>
            </w:r>
          </w:p>
        </w:tc>
      </w:tr>
      <w:tr w14:paraId="3B0B3F6B">
        <w:tblPrEx>
          <w:tblCellMar>
            <w:top w:w="0" w:type="dxa"/>
            <w:left w:w="108" w:type="dxa"/>
            <w:bottom w:w="0" w:type="dxa"/>
            <w:right w:w="108" w:type="dxa"/>
          </w:tblCellMar>
        </w:tblPrEx>
        <w:trPr>
          <w:trHeight w:val="315" w:hRule="atLeast"/>
          <w:jc w:val="center"/>
        </w:trPr>
        <w:tc>
          <w:tcPr>
            <w:tcW w:w="856" w:type="dxa"/>
            <w:vMerge w:val="continue"/>
            <w:tcBorders>
              <w:top w:val="nil"/>
              <w:left w:val="nil"/>
              <w:bottom w:val="nil"/>
              <w:right w:val="nil"/>
            </w:tcBorders>
            <w:shd w:val="clear" w:color="auto" w:fill="auto"/>
            <w:noWrap/>
            <w:vAlign w:val="center"/>
          </w:tcPr>
          <w:p w14:paraId="4F2AD832">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1096" w:type="dxa"/>
            <w:tcBorders>
              <w:top w:val="nil"/>
              <w:left w:val="nil"/>
              <w:bottom w:val="nil"/>
              <w:right w:val="nil"/>
            </w:tcBorders>
            <w:shd w:val="clear" w:color="auto" w:fill="auto"/>
            <w:noWrap/>
            <w:vAlign w:val="center"/>
          </w:tcPr>
          <w:p w14:paraId="0EBD80A2">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15</w:t>
            </w:r>
          </w:p>
        </w:tc>
        <w:tc>
          <w:tcPr>
            <w:tcW w:w="1096" w:type="dxa"/>
            <w:tcBorders>
              <w:top w:val="nil"/>
              <w:left w:val="nil"/>
              <w:bottom w:val="nil"/>
              <w:right w:val="nil"/>
            </w:tcBorders>
            <w:shd w:val="clear" w:color="auto" w:fill="auto"/>
            <w:noWrap/>
            <w:vAlign w:val="center"/>
          </w:tcPr>
          <w:p w14:paraId="0B7189C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50.96 </w:t>
            </w:r>
          </w:p>
        </w:tc>
        <w:tc>
          <w:tcPr>
            <w:tcW w:w="1256" w:type="dxa"/>
            <w:tcBorders>
              <w:top w:val="nil"/>
              <w:left w:val="nil"/>
              <w:bottom w:val="nil"/>
              <w:right w:val="nil"/>
            </w:tcBorders>
            <w:shd w:val="clear" w:color="auto" w:fill="auto"/>
            <w:noWrap/>
            <w:vAlign w:val="center"/>
          </w:tcPr>
          <w:p w14:paraId="5226E8E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12.19 </w:t>
            </w:r>
          </w:p>
        </w:tc>
        <w:tc>
          <w:tcPr>
            <w:tcW w:w="1416" w:type="dxa"/>
            <w:tcBorders>
              <w:top w:val="nil"/>
              <w:left w:val="nil"/>
              <w:bottom w:val="nil"/>
              <w:right w:val="nil"/>
            </w:tcBorders>
            <w:shd w:val="clear" w:color="auto" w:fill="auto"/>
            <w:noWrap/>
            <w:vAlign w:val="center"/>
          </w:tcPr>
          <w:p w14:paraId="18DDD21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2.34 </w:t>
            </w:r>
          </w:p>
        </w:tc>
        <w:tc>
          <w:tcPr>
            <w:tcW w:w="1416" w:type="dxa"/>
            <w:tcBorders>
              <w:top w:val="nil"/>
              <w:left w:val="nil"/>
              <w:bottom w:val="nil"/>
              <w:right w:val="nil"/>
            </w:tcBorders>
            <w:shd w:val="clear" w:color="auto" w:fill="auto"/>
            <w:noWrap/>
            <w:vAlign w:val="center"/>
          </w:tcPr>
          <w:p w14:paraId="28711C6C">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1.12 </w:t>
            </w:r>
          </w:p>
        </w:tc>
        <w:tc>
          <w:tcPr>
            <w:tcW w:w="1016" w:type="dxa"/>
            <w:tcBorders>
              <w:top w:val="nil"/>
              <w:left w:val="nil"/>
              <w:bottom w:val="nil"/>
              <w:right w:val="nil"/>
            </w:tcBorders>
            <w:shd w:val="clear" w:color="auto" w:fill="auto"/>
            <w:noWrap/>
            <w:vAlign w:val="center"/>
          </w:tcPr>
          <w:p w14:paraId="741155F0">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47.70 </w:t>
            </w:r>
          </w:p>
        </w:tc>
      </w:tr>
      <w:tr w14:paraId="329D851E">
        <w:tblPrEx>
          <w:tblCellMar>
            <w:top w:w="0" w:type="dxa"/>
            <w:left w:w="108" w:type="dxa"/>
            <w:bottom w:w="0" w:type="dxa"/>
            <w:right w:w="108" w:type="dxa"/>
          </w:tblCellMar>
        </w:tblPrEx>
        <w:trPr>
          <w:trHeight w:val="315" w:hRule="atLeast"/>
          <w:jc w:val="center"/>
        </w:trPr>
        <w:tc>
          <w:tcPr>
            <w:tcW w:w="856" w:type="dxa"/>
            <w:vMerge w:val="continue"/>
            <w:tcBorders>
              <w:top w:val="nil"/>
              <w:left w:val="nil"/>
              <w:bottom w:val="nil"/>
              <w:right w:val="nil"/>
            </w:tcBorders>
            <w:shd w:val="clear" w:color="auto" w:fill="auto"/>
            <w:noWrap/>
            <w:vAlign w:val="center"/>
          </w:tcPr>
          <w:p w14:paraId="6B93BF22">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1096" w:type="dxa"/>
            <w:tcBorders>
              <w:top w:val="nil"/>
              <w:left w:val="nil"/>
              <w:bottom w:val="nil"/>
              <w:right w:val="nil"/>
            </w:tcBorders>
            <w:shd w:val="clear" w:color="auto" w:fill="auto"/>
            <w:noWrap/>
            <w:vAlign w:val="center"/>
          </w:tcPr>
          <w:p w14:paraId="1AF57724">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20</w:t>
            </w:r>
          </w:p>
        </w:tc>
        <w:tc>
          <w:tcPr>
            <w:tcW w:w="1096" w:type="dxa"/>
            <w:tcBorders>
              <w:top w:val="nil"/>
              <w:left w:val="nil"/>
              <w:bottom w:val="nil"/>
              <w:right w:val="nil"/>
            </w:tcBorders>
            <w:shd w:val="clear" w:color="auto" w:fill="auto"/>
            <w:noWrap/>
            <w:vAlign w:val="center"/>
          </w:tcPr>
          <w:p w14:paraId="47B5127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69.80 </w:t>
            </w:r>
          </w:p>
        </w:tc>
        <w:tc>
          <w:tcPr>
            <w:tcW w:w="1256" w:type="dxa"/>
            <w:tcBorders>
              <w:top w:val="nil"/>
              <w:left w:val="nil"/>
              <w:bottom w:val="nil"/>
              <w:right w:val="nil"/>
            </w:tcBorders>
            <w:shd w:val="clear" w:color="auto" w:fill="auto"/>
            <w:noWrap/>
            <w:vAlign w:val="center"/>
          </w:tcPr>
          <w:p w14:paraId="356A019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16.32 </w:t>
            </w:r>
          </w:p>
        </w:tc>
        <w:tc>
          <w:tcPr>
            <w:tcW w:w="1416" w:type="dxa"/>
            <w:tcBorders>
              <w:top w:val="nil"/>
              <w:left w:val="nil"/>
              <w:bottom w:val="nil"/>
              <w:right w:val="nil"/>
            </w:tcBorders>
            <w:shd w:val="clear" w:color="auto" w:fill="auto"/>
            <w:noWrap/>
            <w:vAlign w:val="center"/>
          </w:tcPr>
          <w:p w14:paraId="104F44CF">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5.01 </w:t>
            </w:r>
          </w:p>
        </w:tc>
        <w:tc>
          <w:tcPr>
            <w:tcW w:w="1416" w:type="dxa"/>
            <w:tcBorders>
              <w:top w:val="nil"/>
              <w:left w:val="nil"/>
              <w:bottom w:val="nil"/>
              <w:right w:val="nil"/>
            </w:tcBorders>
            <w:shd w:val="clear" w:color="auto" w:fill="auto"/>
            <w:noWrap/>
            <w:vAlign w:val="center"/>
          </w:tcPr>
          <w:p w14:paraId="376DC6B8">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2.29 </w:t>
            </w:r>
          </w:p>
        </w:tc>
        <w:tc>
          <w:tcPr>
            <w:tcW w:w="1016" w:type="dxa"/>
            <w:tcBorders>
              <w:top w:val="nil"/>
              <w:left w:val="nil"/>
              <w:bottom w:val="nil"/>
              <w:right w:val="nil"/>
            </w:tcBorders>
            <w:shd w:val="clear" w:color="auto" w:fill="auto"/>
            <w:noWrap/>
            <w:vAlign w:val="center"/>
          </w:tcPr>
          <w:p w14:paraId="42EE3A2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 xml:space="preserve">47.24 </w:t>
            </w:r>
          </w:p>
        </w:tc>
      </w:tr>
      <w:tr w14:paraId="26F63018">
        <w:tblPrEx>
          <w:tblCellMar>
            <w:top w:w="0" w:type="dxa"/>
            <w:left w:w="108" w:type="dxa"/>
            <w:bottom w:w="0" w:type="dxa"/>
            <w:right w:w="108" w:type="dxa"/>
          </w:tblCellMar>
        </w:tblPrEx>
        <w:trPr>
          <w:trHeight w:val="90" w:hRule="atLeast"/>
          <w:jc w:val="center"/>
        </w:trPr>
        <w:tc>
          <w:tcPr>
            <w:tcW w:w="856" w:type="dxa"/>
            <w:vMerge w:val="continue"/>
            <w:tcBorders>
              <w:top w:val="nil"/>
              <w:left w:val="nil"/>
              <w:bottom w:val="nil"/>
              <w:right w:val="nil"/>
            </w:tcBorders>
            <w:shd w:val="clear" w:color="auto" w:fill="auto"/>
            <w:noWrap/>
            <w:vAlign w:val="center"/>
          </w:tcPr>
          <w:p w14:paraId="519BCA14">
            <w:pPr>
              <w:keepNext w:val="0"/>
              <w:keepLines w:val="0"/>
              <w:suppressLineNumbers w:val="0"/>
              <w:spacing w:before="0" w:beforeAutospacing="0" w:after="0" w:afterAutospacing="0"/>
              <w:ind w:left="0" w:right="0"/>
              <w:jc w:val="center"/>
              <w:rPr>
                <w:rFonts w:hint="eastAsia" w:ascii="宋体" w:hAnsi="宋体" w:eastAsia="宋体" w:cs="宋体"/>
                <w:color w:val="000000"/>
                <w:sz w:val="16"/>
                <w:szCs w:val="16"/>
              </w:rPr>
            </w:pPr>
          </w:p>
        </w:tc>
        <w:tc>
          <w:tcPr>
            <w:tcW w:w="1096" w:type="dxa"/>
            <w:tcBorders>
              <w:top w:val="nil"/>
              <w:left w:val="nil"/>
              <w:bottom w:val="single" w:color="000000" w:sz="8" w:space="0"/>
              <w:right w:val="nil"/>
            </w:tcBorders>
            <w:shd w:val="clear" w:color="auto" w:fill="auto"/>
            <w:noWrap/>
            <w:vAlign w:val="center"/>
          </w:tcPr>
          <w:p w14:paraId="5E3531E7">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显著性</w:t>
            </w:r>
          </w:p>
        </w:tc>
        <w:tc>
          <w:tcPr>
            <w:tcW w:w="1096" w:type="dxa"/>
            <w:tcBorders>
              <w:top w:val="nil"/>
              <w:left w:val="nil"/>
              <w:bottom w:val="single" w:color="000000" w:sz="8" w:space="0"/>
              <w:right w:val="nil"/>
            </w:tcBorders>
            <w:shd w:val="clear" w:color="auto" w:fill="auto"/>
            <w:noWrap/>
            <w:vAlign w:val="center"/>
          </w:tcPr>
          <w:p w14:paraId="06007DFB">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0.001</w:t>
            </w:r>
          </w:p>
        </w:tc>
        <w:tc>
          <w:tcPr>
            <w:tcW w:w="1256" w:type="dxa"/>
            <w:tcBorders>
              <w:top w:val="nil"/>
              <w:left w:val="nil"/>
              <w:bottom w:val="single" w:color="000000" w:sz="8" w:space="0"/>
              <w:right w:val="nil"/>
            </w:tcBorders>
            <w:shd w:val="clear" w:color="auto" w:fill="auto"/>
            <w:noWrap/>
            <w:vAlign w:val="center"/>
          </w:tcPr>
          <w:p w14:paraId="21DC69AE">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w:t>
            </w:r>
          </w:p>
        </w:tc>
        <w:tc>
          <w:tcPr>
            <w:tcW w:w="1416" w:type="dxa"/>
            <w:tcBorders>
              <w:top w:val="nil"/>
              <w:left w:val="nil"/>
              <w:bottom w:val="single" w:color="000000" w:sz="8" w:space="0"/>
              <w:right w:val="nil"/>
            </w:tcBorders>
            <w:shd w:val="clear" w:color="auto" w:fill="auto"/>
            <w:noWrap/>
            <w:vAlign w:val="center"/>
          </w:tcPr>
          <w:p w14:paraId="08652A36">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color w:val="000000"/>
                <w:sz w:val="16"/>
                <w:szCs w:val="16"/>
              </w:rPr>
            </w:pPr>
            <w:r>
              <w:rPr>
                <w:rFonts w:hint="eastAsia" w:ascii="宋体" w:hAnsi="宋体" w:eastAsia="宋体" w:cs="宋体"/>
                <w:color w:val="000000"/>
                <w:kern w:val="0"/>
                <w:sz w:val="16"/>
                <w:szCs w:val="16"/>
              </w:rPr>
              <w:t>0</w:t>
            </w:r>
          </w:p>
        </w:tc>
        <w:tc>
          <w:tcPr>
            <w:tcW w:w="1416" w:type="dxa"/>
            <w:tcBorders>
              <w:top w:val="nil"/>
              <w:left w:val="nil"/>
              <w:bottom w:val="single" w:color="000000" w:sz="8" w:space="0"/>
              <w:right w:val="nil"/>
            </w:tcBorders>
            <w:shd w:val="clear" w:color="auto" w:fill="FFFFFF" w:themeFill="background1"/>
            <w:noWrap/>
            <w:vAlign w:val="center"/>
          </w:tcPr>
          <w:p w14:paraId="18F166F1">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sz w:val="16"/>
                <w:szCs w:val="16"/>
              </w:rPr>
            </w:pPr>
            <w:r>
              <w:rPr>
                <w:rFonts w:hint="eastAsia" w:ascii="宋体" w:hAnsi="宋体" w:eastAsia="宋体" w:cs="宋体"/>
                <w:kern w:val="0"/>
                <w:sz w:val="16"/>
                <w:szCs w:val="16"/>
              </w:rPr>
              <w:t>0</w:t>
            </w:r>
          </w:p>
        </w:tc>
        <w:tc>
          <w:tcPr>
            <w:tcW w:w="1016" w:type="dxa"/>
            <w:tcBorders>
              <w:top w:val="nil"/>
              <w:left w:val="nil"/>
              <w:bottom w:val="single" w:color="000000" w:sz="8" w:space="0"/>
              <w:right w:val="nil"/>
            </w:tcBorders>
            <w:shd w:val="clear" w:color="auto" w:fill="FFFFFF" w:themeFill="background1"/>
            <w:noWrap/>
            <w:vAlign w:val="center"/>
          </w:tcPr>
          <w:p w14:paraId="413D2B59">
            <w:pPr>
              <w:keepNext w:val="0"/>
              <w:keepLines w:val="0"/>
              <w:widowControl/>
              <w:suppressLineNumbers w:val="0"/>
              <w:spacing w:before="0" w:beforeAutospacing="0" w:after="0" w:afterAutospacing="0"/>
              <w:ind w:left="0" w:right="0"/>
              <w:jc w:val="center"/>
              <w:textAlignment w:val="center"/>
              <w:rPr>
                <w:rFonts w:hint="eastAsia" w:ascii="宋体" w:hAnsi="宋体" w:eastAsia="宋体" w:cs="宋体"/>
                <w:sz w:val="16"/>
                <w:szCs w:val="16"/>
              </w:rPr>
            </w:pPr>
            <w:r>
              <w:rPr>
                <w:rFonts w:hint="eastAsia" w:ascii="宋体" w:hAnsi="宋体" w:eastAsia="宋体" w:cs="宋体"/>
                <w:kern w:val="0"/>
                <w:sz w:val="16"/>
                <w:szCs w:val="16"/>
              </w:rPr>
              <w:t>0.263</w:t>
            </w:r>
          </w:p>
        </w:tc>
      </w:tr>
    </w:tbl>
    <w:p w14:paraId="75F35857">
      <w:pPr>
        <w:overflowPunct w:val="0"/>
        <w:topLinePunct/>
        <w:spacing w:line="560" w:lineRule="exact"/>
        <w:ind w:firstLine="2400" w:firstLineChars="1000"/>
        <w:jc w:val="left"/>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表</w:t>
      </w:r>
      <w:r>
        <w:rPr>
          <w:rFonts w:hint="eastAsia" w:ascii="仿宋_GB2312" w:hAnsi="仿宋_GB2312" w:eastAsia="仿宋_GB2312" w:cs="仿宋_GB2312"/>
          <w:sz w:val="24"/>
          <w:szCs w:val="24"/>
          <w:lang w:val="en-US" w:eastAsia="zh-CN"/>
        </w:rPr>
        <w:t>4</w:t>
      </w:r>
      <w:r>
        <w:rPr>
          <w:rFonts w:ascii="仿宋_GB2312" w:hAnsi="仿宋_GB2312" w:eastAsia="仿宋_GB2312" w:cs="仿宋_GB2312"/>
          <w:sz w:val="24"/>
          <w:szCs w:val="24"/>
        </w:rPr>
        <w:t xml:space="preserve"> </w:t>
      </w:r>
      <w:r>
        <w:rPr>
          <w:rFonts w:hint="eastAsia" w:ascii="仿宋_GB2312" w:hAnsi="仿宋_GB2312" w:eastAsia="仿宋_GB2312" w:cs="仿宋_GB2312"/>
          <w:sz w:val="24"/>
          <w:szCs w:val="24"/>
        </w:rPr>
        <w:t>老友粉原料</w:t>
      </w:r>
      <w:r>
        <w:rPr>
          <w:rFonts w:ascii="仿宋_GB2312" w:hAnsi="仿宋_GB2312" w:eastAsia="仿宋_GB2312" w:cs="仿宋_GB2312"/>
          <w:sz w:val="24"/>
          <w:szCs w:val="24"/>
        </w:rPr>
        <w:t xml:space="preserve"> </w:t>
      </w:r>
      <w:r>
        <w:rPr>
          <w:rFonts w:hint="eastAsia" w:ascii="仿宋_GB2312" w:hAnsi="仿宋_GB2312" w:eastAsia="仿宋_GB2312" w:cs="仿宋_GB2312"/>
          <w:sz w:val="24"/>
          <w:szCs w:val="24"/>
        </w:rPr>
        <w:t>竹笋质量分级指标</w:t>
      </w:r>
    </w:p>
    <w:tbl>
      <w:tblPr>
        <w:tblStyle w:val="8"/>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755"/>
        <w:gridCol w:w="1180"/>
        <w:gridCol w:w="1051"/>
        <w:gridCol w:w="5862"/>
      </w:tblGrid>
      <w:tr w14:paraId="04314A1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73" w:hRule="atLeast"/>
          <w:jc w:val="center"/>
        </w:trPr>
        <w:tc>
          <w:tcPr>
            <w:tcW w:w="426" w:type="pct"/>
            <w:tcBorders>
              <w:top w:val="single" w:color="auto" w:sz="8" w:space="0"/>
              <w:left w:val="single" w:color="auto" w:sz="8" w:space="0"/>
              <w:bottom w:val="single" w:color="auto" w:sz="8" w:space="0"/>
              <w:right w:val="single" w:color="auto" w:sz="4" w:space="0"/>
            </w:tcBorders>
            <w:shd w:val="clear" w:color="auto" w:fill="auto"/>
            <w:noWrap/>
            <w:vAlign w:val="center"/>
          </w:tcPr>
          <w:p w14:paraId="56FD041C">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等级</w:t>
            </w:r>
          </w:p>
        </w:tc>
        <w:tc>
          <w:tcPr>
            <w:tcW w:w="667" w:type="pct"/>
            <w:tcBorders>
              <w:top w:val="single" w:color="auto" w:sz="8" w:space="0"/>
              <w:left w:val="single" w:color="auto" w:sz="4" w:space="0"/>
              <w:bottom w:val="single" w:color="auto" w:sz="8" w:space="0"/>
              <w:right w:val="single" w:color="auto" w:sz="4" w:space="0"/>
            </w:tcBorders>
            <w:shd w:val="clear" w:color="auto" w:fill="auto"/>
            <w:vAlign w:val="center"/>
          </w:tcPr>
          <w:p w14:paraId="54893E7E">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笋基径/cm</w:t>
            </w:r>
          </w:p>
        </w:tc>
        <w:tc>
          <w:tcPr>
            <w:tcW w:w="594" w:type="pct"/>
            <w:tcBorders>
              <w:top w:val="single" w:color="auto" w:sz="8" w:space="0"/>
              <w:left w:val="single" w:color="auto" w:sz="4" w:space="0"/>
              <w:bottom w:val="single" w:color="auto" w:sz="8" w:space="0"/>
              <w:right w:val="single" w:color="auto" w:sz="4" w:space="0"/>
            </w:tcBorders>
            <w:shd w:val="clear" w:color="auto" w:fill="auto"/>
            <w:noWrap/>
            <w:vAlign w:val="center"/>
          </w:tcPr>
          <w:p w14:paraId="04D4AA9E">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露节数</w:t>
            </w:r>
          </w:p>
        </w:tc>
        <w:tc>
          <w:tcPr>
            <w:tcW w:w="3313" w:type="pct"/>
            <w:tcBorders>
              <w:top w:val="single" w:color="auto" w:sz="8" w:space="0"/>
              <w:left w:val="single" w:color="auto" w:sz="4" w:space="0"/>
              <w:bottom w:val="single" w:color="auto" w:sz="8" w:space="0"/>
              <w:right w:val="single" w:color="auto" w:sz="8" w:space="0"/>
            </w:tcBorders>
            <w:shd w:val="clear" w:color="auto" w:fill="auto"/>
            <w:noWrap/>
            <w:vAlign w:val="center"/>
          </w:tcPr>
          <w:p w14:paraId="239ABF9E">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外观</w:t>
            </w:r>
          </w:p>
        </w:tc>
      </w:tr>
      <w:tr w14:paraId="3E8A79C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8" w:hRule="atLeast"/>
          <w:jc w:val="center"/>
        </w:trPr>
        <w:tc>
          <w:tcPr>
            <w:tcW w:w="426" w:type="pct"/>
            <w:tcBorders>
              <w:top w:val="single" w:color="auto" w:sz="8" w:space="0"/>
              <w:left w:val="single" w:color="auto" w:sz="8" w:space="0"/>
              <w:bottom w:val="single" w:color="auto" w:sz="4" w:space="0"/>
              <w:right w:val="single" w:color="auto" w:sz="4" w:space="0"/>
            </w:tcBorders>
            <w:shd w:val="clear" w:color="auto" w:fill="auto"/>
            <w:noWrap/>
            <w:vAlign w:val="center"/>
          </w:tcPr>
          <w:p w14:paraId="44577830">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一级</w:t>
            </w:r>
          </w:p>
        </w:tc>
        <w:tc>
          <w:tcPr>
            <w:tcW w:w="667" w:type="pct"/>
            <w:tcBorders>
              <w:top w:val="single" w:color="auto" w:sz="8" w:space="0"/>
              <w:left w:val="single" w:color="auto" w:sz="4" w:space="0"/>
              <w:bottom w:val="single" w:color="auto" w:sz="4" w:space="0"/>
              <w:right w:val="single" w:color="auto" w:sz="4" w:space="0"/>
            </w:tcBorders>
            <w:shd w:val="clear" w:color="auto" w:fill="auto"/>
            <w:vAlign w:val="center"/>
          </w:tcPr>
          <w:p w14:paraId="09CEED2F">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Arial" w:hAnsi="Arial" w:eastAsia="宋体" w:cs="Arial"/>
                <w:kern w:val="2"/>
                <w:sz w:val="18"/>
                <w:szCs w:val="18"/>
                <w:lang w:val="en-US" w:eastAsia="zh-CN" w:bidi="ar"/>
              </w:rPr>
              <w:t>≥</w:t>
            </w:r>
            <w:r>
              <w:rPr>
                <w:rFonts w:hint="eastAsia" w:ascii="宋体" w:hAnsi="宋体" w:eastAsia="宋体" w:cs="宋体"/>
                <w:kern w:val="2"/>
                <w:sz w:val="18"/>
                <w:szCs w:val="18"/>
                <w:lang w:val="en-US" w:eastAsia="zh-CN" w:bidi="ar"/>
              </w:rPr>
              <w:t>10</w:t>
            </w:r>
          </w:p>
        </w:tc>
        <w:tc>
          <w:tcPr>
            <w:tcW w:w="594" w:type="pct"/>
            <w:tcBorders>
              <w:top w:val="single" w:color="auto" w:sz="8" w:space="0"/>
              <w:left w:val="single" w:color="auto" w:sz="4" w:space="0"/>
              <w:bottom w:val="single" w:color="auto" w:sz="4" w:space="0"/>
              <w:right w:val="single" w:color="auto" w:sz="4" w:space="0"/>
            </w:tcBorders>
            <w:shd w:val="clear" w:color="auto" w:fill="auto"/>
            <w:noWrap/>
            <w:vAlign w:val="center"/>
          </w:tcPr>
          <w:p w14:paraId="4A00287B">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≤2</w:t>
            </w:r>
          </w:p>
        </w:tc>
        <w:tc>
          <w:tcPr>
            <w:tcW w:w="3313" w:type="pct"/>
            <w:tcBorders>
              <w:top w:val="single" w:color="auto" w:sz="8" w:space="0"/>
              <w:left w:val="single" w:color="auto" w:sz="4" w:space="0"/>
              <w:bottom w:val="single" w:color="auto" w:sz="4" w:space="0"/>
              <w:right w:val="single" w:color="auto" w:sz="8" w:space="0"/>
            </w:tcBorders>
            <w:shd w:val="clear" w:color="auto" w:fill="auto"/>
            <w:noWrap/>
            <w:vAlign w:val="center"/>
          </w:tcPr>
          <w:p w14:paraId="28452572">
            <w:pPr>
              <w:pStyle w:val="7"/>
              <w:keepNext w:val="0"/>
              <w:keepLines w:val="0"/>
              <w:widowControl/>
              <w:suppressLineNumbers w:val="0"/>
              <w:autoSpaceDE w:val="0"/>
              <w:autoSpaceDN w:val="0"/>
              <w:adjustRightInd/>
              <w:spacing w:before="0" w:beforeAutospacing="0" w:after="0" w:afterAutospacing="0" w:line="240" w:lineRule="auto"/>
              <w:ind w:left="0" w:right="0" w:firstLine="180" w:firstLineChars="100"/>
              <w:jc w:val="both"/>
              <w:rPr>
                <w:rFonts w:hint="default" w:hAnsi="宋体" w:cs="宋体"/>
                <w:color w:val="auto"/>
                <w:sz w:val="18"/>
                <w:szCs w:val="18"/>
                <w:lang w:val="en-US"/>
              </w:rPr>
            </w:pPr>
            <w:r>
              <w:rPr>
                <w:rFonts w:hint="eastAsia" w:ascii="宋体" w:hAnsi="宋体" w:eastAsia="宋体" w:cs="宋体"/>
                <w:color w:val="auto"/>
                <w:kern w:val="0"/>
                <w:sz w:val="18"/>
                <w:szCs w:val="18"/>
                <w:lang w:val="en-US" w:eastAsia="zh-CN" w:bidi="ar"/>
              </w:rPr>
              <w:t>外观符合GB/T 30762—2014中4.1要求，笋体饱满、完整，无青皮，竹笋长度30</w:t>
            </w:r>
            <w:r>
              <w:rPr>
                <w:rFonts w:hint="eastAsia" w:ascii="宋体" w:hAnsi="宋体" w:eastAsia="宋体" w:cs="宋体"/>
                <w:color w:val="auto"/>
                <w:kern w:val="0"/>
                <w:sz w:val="18"/>
                <w:szCs w:val="18"/>
                <w:vertAlign w:val="superscript"/>
                <w:lang w:val="en-US" w:eastAsia="zh-CN" w:bidi="ar"/>
              </w:rPr>
              <w:t xml:space="preserve"> </w:t>
            </w:r>
            <w:r>
              <w:rPr>
                <w:rFonts w:hint="eastAsia" w:ascii="宋体" w:hAnsi="宋体" w:eastAsia="宋体" w:cs="宋体"/>
                <w:color w:val="auto"/>
                <w:kern w:val="0"/>
                <w:sz w:val="18"/>
                <w:szCs w:val="18"/>
                <w:lang w:val="en-US" w:eastAsia="zh-CN" w:bidi="ar"/>
              </w:rPr>
              <w:t>cm以上</w:t>
            </w:r>
          </w:p>
        </w:tc>
      </w:tr>
      <w:tr w14:paraId="1C64FC2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8" w:hRule="atLeast"/>
          <w:jc w:val="center"/>
        </w:trPr>
        <w:tc>
          <w:tcPr>
            <w:tcW w:w="426" w:type="pct"/>
            <w:tcBorders>
              <w:top w:val="single" w:color="auto" w:sz="4" w:space="0"/>
              <w:left w:val="single" w:color="auto" w:sz="8" w:space="0"/>
              <w:bottom w:val="single" w:color="auto" w:sz="4" w:space="0"/>
              <w:right w:val="single" w:color="auto" w:sz="4" w:space="0"/>
            </w:tcBorders>
            <w:shd w:val="clear" w:color="auto" w:fill="auto"/>
            <w:noWrap/>
            <w:vAlign w:val="center"/>
          </w:tcPr>
          <w:p w14:paraId="7CF09ABA">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二级</w:t>
            </w:r>
          </w:p>
        </w:tc>
        <w:tc>
          <w:tcPr>
            <w:tcW w:w="667" w:type="pct"/>
            <w:tcBorders>
              <w:top w:val="single" w:color="auto" w:sz="4" w:space="0"/>
              <w:left w:val="single" w:color="auto" w:sz="4" w:space="0"/>
              <w:bottom w:val="single" w:color="auto" w:sz="4" w:space="0"/>
              <w:right w:val="single" w:color="auto" w:sz="4" w:space="0"/>
            </w:tcBorders>
            <w:shd w:val="clear" w:color="auto" w:fill="auto"/>
            <w:vAlign w:val="center"/>
          </w:tcPr>
          <w:p w14:paraId="4668E6B8">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＜10</w:t>
            </w:r>
          </w:p>
        </w:tc>
        <w:tc>
          <w:tcPr>
            <w:tcW w:w="59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31D6632">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≤2</w:t>
            </w:r>
          </w:p>
        </w:tc>
        <w:tc>
          <w:tcPr>
            <w:tcW w:w="3313" w:type="pct"/>
            <w:tcBorders>
              <w:top w:val="single" w:color="auto" w:sz="4" w:space="0"/>
              <w:left w:val="single" w:color="auto" w:sz="4" w:space="0"/>
              <w:bottom w:val="single" w:color="auto" w:sz="4" w:space="0"/>
              <w:right w:val="single" w:color="auto" w:sz="8" w:space="0"/>
            </w:tcBorders>
            <w:shd w:val="clear" w:color="auto" w:fill="auto"/>
            <w:noWrap/>
            <w:vAlign w:val="center"/>
          </w:tcPr>
          <w:p w14:paraId="6CCF9A25">
            <w:pPr>
              <w:pStyle w:val="7"/>
              <w:keepNext w:val="0"/>
              <w:keepLines w:val="0"/>
              <w:widowControl/>
              <w:suppressLineNumbers w:val="0"/>
              <w:autoSpaceDE w:val="0"/>
              <w:autoSpaceDN w:val="0"/>
              <w:adjustRightInd/>
              <w:spacing w:before="0" w:beforeAutospacing="0" w:after="0" w:afterAutospacing="0" w:line="240" w:lineRule="auto"/>
              <w:ind w:left="0" w:right="0" w:firstLine="180" w:firstLineChars="100"/>
              <w:jc w:val="both"/>
              <w:rPr>
                <w:rFonts w:hint="default" w:hAnsi="宋体" w:cs="宋体"/>
                <w:color w:val="auto"/>
                <w:sz w:val="18"/>
                <w:szCs w:val="18"/>
                <w:lang w:val="en-US"/>
              </w:rPr>
            </w:pPr>
            <w:r>
              <w:rPr>
                <w:rFonts w:hint="eastAsia" w:ascii="宋体" w:hAnsi="宋体" w:eastAsia="宋体" w:cs="宋体"/>
                <w:color w:val="auto"/>
                <w:kern w:val="0"/>
                <w:sz w:val="18"/>
                <w:szCs w:val="18"/>
                <w:lang w:val="en-US" w:eastAsia="zh-CN" w:bidi="ar"/>
              </w:rPr>
              <w:t>外观符合GB/T 30762—2014中4.1要求，</w:t>
            </w:r>
            <w:bookmarkStart w:id="0" w:name="OLE_LINK1"/>
            <w:r>
              <w:rPr>
                <w:rFonts w:hint="eastAsia" w:ascii="宋体" w:hAnsi="宋体" w:eastAsia="宋体" w:cs="宋体"/>
                <w:color w:val="auto"/>
                <w:kern w:val="0"/>
                <w:sz w:val="18"/>
                <w:szCs w:val="18"/>
                <w:lang w:val="en-US" w:eastAsia="zh-CN" w:bidi="ar"/>
              </w:rPr>
              <w:t>笋体较饱满</w:t>
            </w:r>
            <w:bookmarkEnd w:id="0"/>
            <w:r>
              <w:rPr>
                <w:rFonts w:hint="eastAsia" w:ascii="宋体" w:hAnsi="宋体" w:eastAsia="宋体" w:cs="宋体"/>
                <w:color w:val="auto"/>
                <w:kern w:val="0"/>
                <w:sz w:val="18"/>
                <w:szCs w:val="18"/>
                <w:lang w:val="en-US" w:eastAsia="zh-CN" w:bidi="ar"/>
              </w:rPr>
              <w:t>、完整，笋尖5cm以内有青色，竹笋长度30</w:t>
            </w:r>
            <w:r>
              <w:rPr>
                <w:rFonts w:hint="eastAsia" w:ascii="宋体" w:hAnsi="宋体" w:eastAsia="宋体" w:cs="宋体"/>
                <w:color w:val="auto"/>
                <w:kern w:val="0"/>
                <w:sz w:val="18"/>
                <w:szCs w:val="18"/>
                <w:vertAlign w:val="superscript"/>
                <w:lang w:val="en-US" w:eastAsia="zh-CN" w:bidi="ar"/>
              </w:rPr>
              <w:t xml:space="preserve"> </w:t>
            </w:r>
            <w:r>
              <w:rPr>
                <w:rFonts w:hint="eastAsia" w:ascii="宋体" w:hAnsi="宋体" w:eastAsia="宋体" w:cs="宋体"/>
                <w:color w:val="auto"/>
                <w:kern w:val="0"/>
                <w:sz w:val="18"/>
                <w:szCs w:val="18"/>
                <w:lang w:val="en-US" w:eastAsia="zh-CN" w:bidi="ar"/>
              </w:rPr>
              <w:t>cm～100</w:t>
            </w:r>
            <w:r>
              <w:rPr>
                <w:rFonts w:hint="eastAsia" w:ascii="宋体" w:hAnsi="宋体" w:eastAsia="宋体" w:cs="宋体"/>
                <w:color w:val="auto"/>
                <w:kern w:val="0"/>
                <w:sz w:val="18"/>
                <w:szCs w:val="18"/>
                <w:vertAlign w:val="superscript"/>
                <w:lang w:val="en-US" w:eastAsia="zh-CN" w:bidi="ar"/>
              </w:rPr>
              <w:t xml:space="preserve"> </w:t>
            </w:r>
            <w:r>
              <w:rPr>
                <w:rFonts w:hint="eastAsia" w:ascii="宋体" w:hAnsi="宋体" w:eastAsia="宋体" w:cs="宋体"/>
                <w:color w:val="auto"/>
                <w:kern w:val="0"/>
                <w:sz w:val="18"/>
                <w:szCs w:val="18"/>
                <w:lang w:val="en-US" w:eastAsia="zh-CN" w:bidi="ar"/>
              </w:rPr>
              <w:t>cm，单笋重量大于或等于500</w:t>
            </w:r>
            <w:r>
              <w:rPr>
                <w:rFonts w:hint="eastAsia" w:ascii="宋体" w:hAnsi="宋体" w:eastAsia="宋体" w:cs="宋体"/>
                <w:color w:val="auto"/>
                <w:kern w:val="0"/>
                <w:sz w:val="18"/>
                <w:szCs w:val="18"/>
                <w:vertAlign w:val="superscript"/>
                <w:lang w:val="en-US" w:eastAsia="zh-CN" w:bidi="ar"/>
              </w:rPr>
              <w:t xml:space="preserve"> </w:t>
            </w:r>
            <w:r>
              <w:rPr>
                <w:rFonts w:hint="eastAsia" w:ascii="宋体" w:hAnsi="宋体" w:eastAsia="宋体" w:cs="宋体"/>
                <w:color w:val="auto"/>
                <w:kern w:val="0"/>
                <w:sz w:val="18"/>
                <w:szCs w:val="18"/>
                <w:lang w:val="en-US" w:eastAsia="zh-CN" w:bidi="ar"/>
              </w:rPr>
              <w:t>g</w:t>
            </w:r>
          </w:p>
        </w:tc>
      </w:tr>
      <w:tr w14:paraId="29B143D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8" w:hRule="atLeast"/>
          <w:jc w:val="center"/>
        </w:trPr>
        <w:tc>
          <w:tcPr>
            <w:tcW w:w="426" w:type="pct"/>
            <w:tcBorders>
              <w:top w:val="single" w:color="auto" w:sz="4" w:space="0"/>
              <w:left w:val="single" w:color="auto" w:sz="8" w:space="0"/>
              <w:bottom w:val="single" w:color="auto" w:sz="8" w:space="0"/>
              <w:right w:val="single" w:color="auto" w:sz="4" w:space="0"/>
            </w:tcBorders>
            <w:shd w:val="clear" w:color="auto" w:fill="auto"/>
            <w:noWrap/>
            <w:vAlign w:val="center"/>
          </w:tcPr>
          <w:p w14:paraId="6656FC93">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三级</w:t>
            </w:r>
          </w:p>
        </w:tc>
        <w:tc>
          <w:tcPr>
            <w:tcW w:w="667" w:type="pct"/>
            <w:tcBorders>
              <w:top w:val="single" w:color="auto" w:sz="4" w:space="0"/>
              <w:left w:val="single" w:color="auto" w:sz="4" w:space="0"/>
              <w:bottom w:val="single" w:color="auto" w:sz="8" w:space="0"/>
              <w:right w:val="single" w:color="auto" w:sz="4" w:space="0"/>
            </w:tcBorders>
            <w:shd w:val="clear" w:color="auto" w:fill="auto"/>
            <w:vAlign w:val="center"/>
          </w:tcPr>
          <w:p w14:paraId="522DA749">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Arial" w:hAnsi="Arial" w:eastAsia="宋体" w:cs="Arial"/>
                <w:kern w:val="2"/>
                <w:sz w:val="18"/>
                <w:szCs w:val="18"/>
                <w:lang w:val="en-US" w:eastAsia="zh-CN" w:bidi="ar"/>
              </w:rPr>
              <w:t>≥</w:t>
            </w:r>
            <w:r>
              <w:rPr>
                <w:rFonts w:hint="eastAsia" w:ascii="宋体" w:hAnsi="宋体" w:eastAsia="宋体" w:cs="宋体"/>
                <w:kern w:val="2"/>
                <w:sz w:val="18"/>
                <w:szCs w:val="18"/>
                <w:lang w:val="en-US" w:eastAsia="zh-CN" w:bidi="ar"/>
              </w:rPr>
              <w:t>10</w:t>
            </w:r>
          </w:p>
        </w:tc>
        <w:tc>
          <w:tcPr>
            <w:tcW w:w="594" w:type="pct"/>
            <w:tcBorders>
              <w:top w:val="single" w:color="auto" w:sz="4" w:space="0"/>
              <w:left w:val="single" w:color="auto" w:sz="4" w:space="0"/>
              <w:bottom w:val="single" w:color="auto" w:sz="8" w:space="0"/>
              <w:right w:val="single" w:color="auto" w:sz="4" w:space="0"/>
            </w:tcBorders>
            <w:shd w:val="clear" w:color="auto" w:fill="auto"/>
            <w:noWrap/>
            <w:vAlign w:val="center"/>
          </w:tcPr>
          <w:p w14:paraId="5A25339A">
            <w:pPr>
              <w:keepNext w:val="0"/>
              <w:keepLines w:val="0"/>
              <w:widowControl/>
              <w:suppressLineNumbers w:val="0"/>
              <w:adjustRightInd w:val="0"/>
              <w:spacing w:before="0" w:beforeAutospacing="0" w:after="0" w:afterAutospacing="0" w:line="400" w:lineRule="exact"/>
              <w:ind w:left="0" w:right="0"/>
              <w:jc w:val="center"/>
              <w:textAlignment w:val="center"/>
              <w:rPr>
                <w:rFonts w:hint="eastAsia" w:ascii="宋体" w:hAnsi="宋体" w:eastAsia="宋体" w:cs="宋体"/>
                <w:sz w:val="18"/>
                <w:szCs w:val="18"/>
                <w:lang w:val="en-US"/>
              </w:rPr>
            </w:pPr>
            <w:r>
              <w:rPr>
                <w:rFonts w:hint="eastAsia" w:ascii="宋体" w:hAnsi="宋体" w:eastAsia="宋体" w:cs="宋体"/>
                <w:kern w:val="2"/>
                <w:sz w:val="18"/>
                <w:szCs w:val="18"/>
                <w:lang w:val="en-US" w:eastAsia="zh-CN" w:bidi="ar"/>
              </w:rPr>
              <w:t>3～4</w:t>
            </w:r>
          </w:p>
        </w:tc>
        <w:tc>
          <w:tcPr>
            <w:tcW w:w="3313" w:type="pct"/>
            <w:tcBorders>
              <w:top w:val="single" w:color="auto" w:sz="4" w:space="0"/>
              <w:left w:val="single" w:color="auto" w:sz="4" w:space="0"/>
              <w:bottom w:val="single" w:color="auto" w:sz="8" w:space="0"/>
              <w:right w:val="single" w:color="auto" w:sz="8" w:space="0"/>
            </w:tcBorders>
            <w:shd w:val="clear" w:color="auto" w:fill="auto"/>
            <w:noWrap/>
            <w:vAlign w:val="center"/>
          </w:tcPr>
          <w:p w14:paraId="280DA819">
            <w:pPr>
              <w:pStyle w:val="7"/>
              <w:keepNext w:val="0"/>
              <w:keepLines w:val="0"/>
              <w:widowControl/>
              <w:suppressLineNumbers w:val="0"/>
              <w:autoSpaceDE w:val="0"/>
              <w:autoSpaceDN w:val="0"/>
              <w:adjustRightInd/>
              <w:spacing w:before="0" w:beforeAutospacing="0" w:after="0" w:afterAutospacing="0" w:line="240" w:lineRule="auto"/>
              <w:ind w:left="0" w:right="0" w:firstLine="180" w:firstLineChars="100"/>
              <w:jc w:val="both"/>
              <w:rPr>
                <w:rFonts w:hint="default" w:hAnsi="宋体" w:cs="宋体"/>
                <w:color w:val="auto"/>
                <w:sz w:val="18"/>
                <w:szCs w:val="18"/>
                <w:lang w:val="en-US"/>
              </w:rPr>
            </w:pPr>
            <w:r>
              <w:rPr>
                <w:rFonts w:hint="eastAsia" w:ascii="宋体" w:hAnsi="宋体" w:eastAsia="宋体" w:cs="宋体"/>
                <w:color w:val="auto"/>
                <w:kern w:val="0"/>
                <w:sz w:val="18"/>
                <w:szCs w:val="18"/>
                <w:lang w:val="en-US" w:eastAsia="zh-CN" w:bidi="ar"/>
              </w:rPr>
              <w:t>外观符合GB/T 30762—2014中4.1要求，笋体较饱满（参考地标4452/T）</w:t>
            </w:r>
          </w:p>
        </w:tc>
      </w:tr>
    </w:tbl>
    <w:p w14:paraId="039C8249">
      <w:pPr>
        <w:pStyle w:val="13"/>
        <w:spacing w:after="0" w:line="560" w:lineRule="exact"/>
        <w:ind w:firstLine="640" w:firstLineChars="200"/>
        <w:outlineLvl w:val="1"/>
        <w:rPr>
          <w:rFonts w:hint="eastAsia" w:eastAsia="仿宋_GB2312" w:cs="Times New Roman"/>
        </w:rPr>
      </w:pPr>
    </w:p>
    <w:p w14:paraId="7F794B1E">
      <w:pPr>
        <w:pStyle w:val="13"/>
        <w:spacing w:after="0" w:line="560" w:lineRule="exact"/>
        <w:ind w:firstLine="640" w:firstLineChars="200"/>
        <w:outlineLvl w:val="1"/>
        <w:rPr>
          <w:rFonts w:ascii="仿宋_GB2312" w:eastAsia="仿宋_GB2312"/>
          <w:bCs/>
        </w:rPr>
      </w:pPr>
      <w:r>
        <w:rPr>
          <w:rFonts w:hint="eastAsia" w:eastAsia="仿宋_GB2312" w:cs="Times New Roman"/>
        </w:rPr>
        <w:t>竹笋</w:t>
      </w:r>
      <w:r>
        <w:rPr>
          <w:rFonts w:hint="eastAsia" w:eastAsia="仿宋_GB2312" w:cs="Times New Roman"/>
          <w:color w:val="000000"/>
        </w:rPr>
        <w:t>感官要求</w:t>
      </w:r>
      <w:r>
        <w:rPr>
          <w:rFonts w:hint="eastAsia" w:eastAsia="仿宋_GB2312" w:cs="Times New Roman"/>
        </w:rPr>
        <w:t>：</w:t>
      </w:r>
      <w:r>
        <w:rPr>
          <w:rFonts w:hint="eastAsia" w:ascii="仿宋_GB2312" w:eastAsia="仿宋_GB2312"/>
          <w:bCs/>
        </w:rPr>
        <w:t>感官要求主要明确了“外观、色泽、滋味和气味、组织形态、杂质”的要求</w:t>
      </w:r>
      <w:r>
        <w:rPr>
          <w:rFonts w:ascii="仿宋_GB2312" w:eastAsia="仿宋_GB2312"/>
          <w:bCs/>
        </w:rPr>
        <w:t>。</w:t>
      </w:r>
      <w:r>
        <w:rPr>
          <w:rFonts w:hint="eastAsia" w:ascii="仿宋_GB2312" w:eastAsia="仿宋_GB2312"/>
          <w:bCs/>
        </w:rPr>
        <w:t>主要在参考《DB45/T 905-2019 地理标志产品 八渡笋》《DB4452/T 1-2021 地理标志产量 埔田竹笋》《DB35/T 1006-2010 地理标志产品 八渡笋》等相关标准的基础上结合企业使用的竹笋原料实际确定。在外观上明确了笋体无损伤、切口平整、无病虫害、无腐烂霉变，笋肉新鲜饱满等</w:t>
      </w:r>
      <w:r>
        <w:rPr>
          <w:rFonts w:ascii="仿宋_GB2312" w:eastAsia="仿宋_GB2312"/>
          <w:bCs/>
        </w:rPr>
        <w:t>要求</w:t>
      </w:r>
      <w:r>
        <w:rPr>
          <w:rFonts w:hint="eastAsia" w:ascii="仿宋_GB2312" w:eastAsia="仿宋_GB2312"/>
          <w:bCs/>
        </w:rPr>
        <w:t>；在色泽上具有该品种固有的白色或浅黄色，色泽</w:t>
      </w:r>
      <w:r>
        <w:rPr>
          <w:rFonts w:hint="eastAsia" w:ascii="仿宋_GB2312" w:eastAsia="仿宋_GB2312"/>
          <w:bCs/>
          <w:lang w:val="en-US" w:eastAsia="zh-CN"/>
        </w:rPr>
        <w:t>鲜亮</w:t>
      </w:r>
      <w:r>
        <w:rPr>
          <w:rFonts w:hint="eastAsia" w:ascii="仿宋_GB2312" w:eastAsia="仿宋_GB2312"/>
          <w:bCs/>
        </w:rPr>
        <w:t>一致；在滋味和气味上要求具有</w:t>
      </w:r>
      <w:r>
        <w:rPr>
          <w:rFonts w:hint="eastAsia" w:ascii="仿宋_GB2312" w:eastAsia="仿宋_GB2312"/>
          <w:bCs/>
          <w:lang w:bidi="ar"/>
        </w:rPr>
        <w:t>笋肉鲜爽脆嫩、清香甘甜</w:t>
      </w:r>
      <w:r>
        <w:rPr>
          <w:rFonts w:hint="eastAsia" w:ascii="仿宋_GB2312" w:eastAsia="仿宋_GB2312"/>
          <w:bCs/>
        </w:rPr>
        <w:t>、无异味等特点；在组织形态上要求形状规则，大小均匀；在杂质方面要求笋肉无肉眼可见杂质。</w:t>
      </w:r>
    </w:p>
    <w:p w14:paraId="32250B8E">
      <w:pPr>
        <w:pStyle w:val="13"/>
        <w:spacing w:line="560" w:lineRule="exact"/>
        <w:ind w:firstLine="640" w:firstLineChars="200"/>
        <w:outlineLvl w:val="1"/>
        <w:rPr>
          <w:rFonts w:eastAsia="仿宋_GB2312"/>
        </w:rPr>
      </w:pPr>
      <w:r>
        <w:rPr>
          <w:rFonts w:hint="eastAsia" w:eastAsia="仿宋_GB2312"/>
        </w:rPr>
        <w:t>理化指标要求：理化指标要求主要明确了“可食率、含水率、粗纤维</w:t>
      </w:r>
      <w:r>
        <w:rPr>
          <w:rFonts w:hint="eastAsia" w:eastAsia="仿宋_GB2312"/>
          <w:lang w:eastAsia="zh-CN"/>
        </w:rPr>
        <w:t>、</w:t>
      </w:r>
      <w:r>
        <w:rPr>
          <w:rFonts w:hint="eastAsia" w:eastAsia="仿宋_GB2312"/>
          <w:lang w:val="en-US" w:eastAsia="zh-CN"/>
        </w:rPr>
        <w:t>可溶性固形物</w:t>
      </w:r>
      <w:r>
        <w:rPr>
          <w:rFonts w:hint="eastAsia" w:eastAsia="仿宋_GB2312"/>
        </w:rPr>
        <w:t>”的指标要求。主要考虑到影响南宁老友</w:t>
      </w:r>
      <w:r>
        <w:rPr>
          <w:rFonts w:hint="eastAsia" w:eastAsia="仿宋_GB2312"/>
          <w:lang w:eastAsia="zh-CN"/>
        </w:rPr>
        <w:t>粉</w:t>
      </w:r>
      <w:r>
        <w:rPr>
          <w:rFonts w:hint="eastAsia" w:eastAsia="仿宋_GB2312"/>
        </w:rPr>
        <w:t>爽脆口感的特点确定，从</w:t>
      </w:r>
      <w:r>
        <w:rPr>
          <w:rFonts w:hint="eastAsia" w:eastAsia="仿宋_GB2312"/>
          <w:lang w:val="en-US" w:eastAsia="zh-CN"/>
        </w:rPr>
        <w:t>四</w:t>
      </w:r>
      <w:r>
        <w:rPr>
          <w:rFonts w:hint="eastAsia" w:eastAsia="仿宋_GB2312"/>
        </w:rPr>
        <w:t>个方面共同确保所选用的竹笋符合老友粉用竹笋的要求。</w:t>
      </w:r>
      <w:r>
        <w:rPr>
          <w:rFonts w:eastAsia="仿宋_GB2312"/>
        </w:rPr>
        <w:t>2024</w:t>
      </w:r>
      <w:r>
        <w:rPr>
          <w:rFonts w:hint="eastAsia" w:eastAsia="仿宋_GB2312"/>
        </w:rPr>
        <w:t>年</w:t>
      </w:r>
      <w:r>
        <w:rPr>
          <w:rFonts w:eastAsia="仿宋_GB2312"/>
        </w:rPr>
        <w:t>9</w:t>
      </w:r>
      <w:r>
        <w:rPr>
          <w:rFonts w:hint="eastAsia" w:eastAsia="仿宋_GB2312"/>
        </w:rPr>
        <w:t>月在南宁市范围内的各竹笋种植基地随机选取刚采收的新鲜竹笋，合计25个样品进行粗纤维含量检测；另在各基地随机选取刚采收的鲜竹笋，合计20个做含水率检测；同时在各基地采笋现场做可食率检测，共计检测162个样品。各项检测结果见表</w:t>
      </w:r>
      <w:r>
        <w:rPr>
          <w:rFonts w:hint="eastAsia" w:eastAsia="仿宋_GB2312"/>
          <w:lang w:val="en-US" w:eastAsia="zh-CN"/>
        </w:rPr>
        <w:t>5</w:t>
      </w:r>
      <w:r>
        <w:rPr>
          <w:rFonts w:hint="eastAsia" w:eastAsia="仿宋_GB2312"/>
          <w:lang w:eastAsia="zh-CN"/>
        </w:rPr>
        <w:t>－</w:t>
      </w:r>
      <w:r>
        <w:rPr>
          <w:rFonts w:hint="eastAsia" w:eastAsia="仿宋_GB2312"/>
        </w:rPr>
        <w:t>表8。</w:t>
      </w:r>
    </w:p>
    <w:p w14:paraId="37B63F2E">
      <w:pPr>
        <w:pStyle w:val="13"/>
        <w:spacing w:line="560" w:lineRule="exact"/>
        <w:jc w:val="center"/>
        <w:outlineLvl w:val="1"/>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xml:space="preserve">  表</w:t>
      </w:r>
      <w:r>
        <w:rPr>
          <w:rFonts w:hint="eastAsia" w:ascii="仿宋_GB2312" w:hAnsi="仿宋_GB2312" w:eastAsia="仿宋_GB2312" w:cs="仿宋_GB2312"/>
          <w:kern w:val="0"/>
          <w:sz w:val="24"/>
          <w:szCs w:val="24"/>
          <w:lang w:val="en-US" w:eastAsia="zh-CN"/>
        </w:rPr>
        <w:t>5</w:t>
      </w:r>
      <w:r>
        <w:rPr>
          <w:rFonts w:hint="eastAsia" w:ascii="仿宋_GB2312" w:hAnsi="仿宋_GB2312" w:eastAsia="仿宋_GB2312" w:cs="仿宋_GB2312"/>
          <w:kern w:val="0"/>
          <w:sz w:val="24"/>
          <w:szCs w:val="24"/>
        </w:rPr>
        <w:t xml:space="preserve"> 竹笋可食率</w:t>
      </w:r>
    </w:p>
    <w:tbl>
      <w:tblPr>
        <w:tblStyle w:val="8"/>
        <w:tblW w:w="8640" w:type="dxa"/>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13"/>
        <w:gridCol w:w="1447"/>
        <w:gridCol w:w="675"/>
        <w:gridCol w:w="1485"/>
        <w:gridCol w:w="706"/>
        <w:gridCol w:w="1454"/>
        <w:gridCol w:w="733"/>
        <w:gridCol w:w="1427"/>
      </w:tblGrid>
      <w:tr w14:paraId="5D3A466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blHeader/>
        </w:trPr>
        <w:tc>
          <w:tcPr>
            <w:tcW w:w="713" w:type="dxa"/>
            <w:tcBorders>
              <w:top w:val="single" w:color="auto" w:sz="12" w:space="0"/>
              <w:bottom w:val="single" w:color="auto" w:sz="4" w:space="0"/>
            </w:tcBorders>
            <w:shd w:val="clear" w:color="auto" w:fill="auto"/>
            <w:noWrap/>
            <w:vAlign w:val="center"/>
          </w:tcPr>
          <w:p w14:paraId="3AFD194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47" w:type="dxa"/>
            <w:tcBorders>
              <w:top w:val="single" w:color="auto" w:sz="12" w:space="0"/>
              <w:bottom w:val="single" w:color="auto" w:sz="4" w:space="0"/>
            </w:tcBorders>
            <w:shd w:val="clear" w:color="auto" w:fill="auto"/>
            <w:noWrap/>
            <w:vAlign w:val="center"/>
          </w:tcPr>
          <w:p w14:paraId="1ABF7F7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可食率/%</w:t>
            </w:r>
          </w:p>
        </w:tc>
        <w:tc>
          <w:tcPr>
            <w:tcW w:w="675" w:type="dxa"/>
            <w:tcBorders>
              <w:top w:val="single" w:color="auto" w:sz="12" w:space="0"/>
              <w:bottom w:val="single" w:color="auto" w:sz="4" w:space="0"/>
            </w:tcBorders>
            <w:shd w:val="clear" w:color="auto" w:fill="auto"/>
            <w:noWrap/>
            <w:vAlign w:val="center"/>
          </w:tcPr>
          <w:p w14:paraId="3F8943A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85" w:type="dxa"/>
            <w:tcBorders>
              <w:top w:val="single" w:color="auto" w:sz="12" w:space="0"/>
              <w:bottom w:val="single" w:color="auto" w:sz="4" w:space="0"/>
            </w:tcBorders>
            <w:shd w:val="clear" w:color="auto" w:fill="auto"/>
            <w:noWrap/>
            <w:vAlign w:val="center"/>
          </w:tcPr>
          <w:p w14:paraId="0FF4641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可食率/%</w:t>
            </w:r>
          </w:p>
        </w:tc>
        <w:tc>
          <w:tcPr>
            <w:tcW w:w="706" w:type="dxa"/>
            <w:tcBorders>
              <w:top w:val="single" w:color="auto" w:sz="12" w:space="0"/>
              <w:bottom w:val="single" w:color="auto" w:sz="4" w:space="0"/>
            </w:tcBorders>
            <w:shd w:val="clear" w:color="auto" w:fill="auto"/>
            <w:noWrap/>
            <w:vAlign w:val="center"/>
          </w:tcPr>
          <w:p w14:paraId="2DAF74D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54" w:type="dxa"/>
            <w:tcBorders>
              <w:top w:val="single" w:color="auto" w:sz="12" w:space="0"/>
              <w:bottom w:val="single" w:color="auto" w:sz="4" w:space="0"/>
            </w:tcBorders>
            <w:shd w:val="clear" w:color="auto" w:fill="auto"/>
            <w:noWrap/>
            <w:vAlign w:val="center"/>
          </w:tcPr>
          <w:p w14:paraId="3F22D47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可食率/%</w:t>
            </w:r>
          </w:p>
        </w:tc>
        <w:tc>
          <w:tcPr>
            <w:tcW w:w="733" w:type="dxa"/>
            <w:tcBorders>
              <w:top w:val="single" w:color="auto" w:sz="12" w:space="0"/>
              <w:bottom w:val="single" w:color="auto" w:sz="4" w:space="0"/>
            </w:tcBorders>
            <w:shd w:val="clear" w:color="auto" w:fill="auto"/>
            <w:noWrap/>
            <w:vAlign w:val="center"/>
          </w:tcPr>
          <w:p w14:paraId="363EC4E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27" w:type="dxa"/>
            <w:tcBorders>
              <w:top w:val="single" w:color="auto" w:sz="12" w:space="0"/>
              <w:bottom w:val="single" w:color="auto" w:sz="4" w:space="0"/>
            </w:tcBorders>
            <w:shd w:val="clear" w:color="auto" w:fill="auto"/>
            <w:noWrap/>
            <w:vAlign w:val="center"/>
          </w:tcPr>
          <w:p w14:paraId="2115D28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可食率/%</w:t>
            </w:r>
          </w:p>
        </w:tc>
      </w:tr>
      <w:tr w14:paraId="5415565D">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tcBorders>
              <w:top w:val="single" w:color="auto" w:sz="4" w:space="0"/>
              <w:bottom w:val="nil"/>
            </w:tcBorders>
            <w:shd w:val="clear" w:color="auto" w:fill="auto"/>
            <w:noWrap/>
            <w:vAlign w:val="center"/>
          </w:tcPr>
          <w:p w14:paraId="1FAAE01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w:t>
            </w:r>
          </w:p>
        </w:tc>
        <w:tc>
          <w:tcPr>
            <w:tcW w:w="1447" w:type="dxa"/>
            <w:tcBorders>
              <w:top w:val="single" w:color="auto" w:sz="4" w:space="0"/>
              <w:bottom w:val="nil"/>
            </w:tcBorders>
            <w:shd w:val="clear" w:color="auto" w:fill="auto"/>
            <w:noWrap/>
            <w:vAlign w:val="center"/>
          </w:tcPr>
          <w:p w14:paraId="7962A41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43.0</w:t>
            </w:r>
          </w:p>
        </w:tc>
        <w:tc>
          <w:tcPr>
            <w:tcW w:w="675" w:type="dxa"/>
            <w:tcBorders>
              <w:top w:val="single" w:color="auto" w:sz="4" w:space="0"/>
              <w:bottom w:val="nil"/>
            </w:tcBorders>
            <w:shd w:val="clear" w:color="auto" w:fill="auto"/>
            <w:noWrap/>
            <w:vAlign w:val="center"/>
          </w:tcPr>
          <w:p w14:paraId="583D33B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w:t>
            </w:r>
          </w:p>
        </w:tc>
        <w:tc>
          <w:tcPr>
            <w:tcW w:w="1485" w:type="dxa"/>
            <w:tcBorders>
              <w:top w:val="single" w:color="auto" w:sz="4" w:space="0"/>
              <w:bottom w:val="nil"/>
            </w:tcBorders>
            <w:shd w:val="clear" w:color="auto" w:fill="auto"/>
            <w:noWrap/>
            <w:vAlign w:val="center"/>
          </w:tcPr>
          <w:p w14:paraId="3EF5999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57.4</w:t>
            </w:r>
          </w:p>
        </w:tc>
        <w:tc>
          <w:tcPr>
            <w:tcW w:w="706" w:type="dxa"/>
            <w:tcBorders>
              <w:top w:val="single" w:color="auto" w:sz="4" w:space="0"/>
              <w:bottom w:val="nil"/>
            </w:tcBorders>
            <w:shd w:val="clear" w:color="auto" w:fill="auto"/>
            <w:noWrap/>
            <w:vAlign w:val="center"/>
          </w:tcPr>
          <w:p w14:paraId="6F132DB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83</w:t>
            </w:r>
          </w:p>
        </w:tc>
        <w:tc>
          <w:tcPr>
            <w:tcW w:w="1454" w:type="dxa"/>
            <w:tcBorders>
              <w:top w:val="single" w:color="auto" w:sz="4" w:space="0"/>
              <w:bottom w:val="nil"/>
            </w:tcBorders>
            <w:shd w:val="clear" w:color="auto" w:fill="auto"/>
            <w:noWrap/>
            <w:vAlign w:val="center"/>
          </w:tcPr>
          <w:p w14:paraId="4DCCE3B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46.9</w:t>
            </w:r>
          </w:p>
        </w:tc>
        <w:tc>
          <w:tcPr>
            <w:tcW w:w="733" w:type="dxa"/>
            <w:tcBorders>
              <w:top w:val="single" w:color="auto" w:sz="4" w:space="0"/>
              <w:bottom w:val="nil"/>
            </w:tcBorders>
            <w:shd w:val="clear" w:color="auto" w:fill="auto"/>
            <w:noWrap/>
            <w:vAlign w:val="center"/>
          </w:tcPr>
          <w:p w14:paraId="4848225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123</w:t>
            </w:r>
          </w:p>
        </w:tc>
        <w:tc>
          <w:tcPr>
            <w:tcW w:w="1427" w:type="dxa"/>
            <w:tcBorders>
              <w:top w:val="single" w:color="auto" w:sz="4" w:space="0"/>
              <w:bottom w:val="nil"/>
            </w:tcBorders>
            <w:shd w:val="clear" w:color="auto" w:fill="auto"/>
            <w:noWrap/>
            <w:vAlign w:val="center"/>
          </w:tcPr>
          <w:p w14:paraId="125B4FE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60.2</w:t>
            </w:r>
          </w:p>
        </w:tc>
      </w:tr>
      <w:tr w14:paraId="6D604217">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tcBorders>
              <w:top w:val="nil"/>
            </w:tcBorders>
            <w:shd w:val="clear" w:color="auto" w:fill="auto"/>
            <w:noWrap/>
            <w:vAlign w:val="center"/>
          </w:tcPr>
          <w:p w14:paraId="519F1AE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w:t>
            </w:r>
          </w:p>
        </w:tc>
        <w:tc>
          <w:tcPr>
            <w:tcW w:w="1447" w:type="dxa"/>
            <w:tcBorders>
              <w:top w:val="nil"/>
            </w:tcBorders>
            <w:shd w:val="clear" w:color="auto" w:fill="auto"/>
            <w:noWrap/>
            <w:vAlign w:val="center"/>
          </w:tcPr>
          <w:p w14:paraId="5FD7158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44.0</w:t>
            </w:r>
          </w:p>
        </w:tc>
        <w:tc>
          <w:tcPr>
            <w:tcW w:w="675" w:type="dxa"/>
            <w:tcBorders>
              <w:top w:val="nil"/>
            </w:tcBorders>
            <w:shd w:val="clear" w:color="auto" w:fill="auto"/>
            <w:noWrap/>
            <w:vAlign w:val="center"/>
          </w:tcPr>
          <w:p w14:paraId="5962F76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w:t>
            </w:r>
          </w:p>
        </w:tc>
        <w:tc>
          <w:tcPr>
            <w:tcW w:w="1485" w:type="dxa"/>
            <w:tcBorders>
              <w:top w:val="nil"/>
            </w:tcBorders>
            <w:shd w:val="clear" w:color="auto" w:fill="auto"/>
            <w:noWrap/>
            <w:vAlign w:val="center"/>
          </w:tcPr>
          <w:p w14:paraId="44B9E5D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40.0</w:t>
            </w:r>
          </w:p>
        </w:tc>
        <w:tc>
          <w:tcPr>
            <w:tcW w:w="706" w:type="dxa"/>
            <w:tcBorders>
              <w:top w:val="nil"/>
            </w:tcBorders>
            <w:shd w:val="clear" w:color="auto" w:fill="auto"/>
            <w:noWrap/>
            <w:vAlign w:val="center"/>
          </w:tcPr>
          <w:p w14:paraId="2AB31E2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84</w:t>
            </w:r>
          </w:p>
        </w:tc>
        <w:tc>
          <w:tcPr>
            <w:tcW w:w="1454" w:type="dxa"/>
            <w:tcBorders>
              <w:top w:val="nil"/>
            </w:tcBorders>
            <w:shd w:val="clear" w:color="auto" w:fill="auto"/>
            <w:noWrap/>
            <w:vAlign w:val="center"/>
          </w:tcPr>
          <w:p w14:paraId="3498AF1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51.4</w:t>
            </w:r>
          </w:p>
        </w:tc>
        <w:tc>
          <w:tcPr>
            <w:tcW w:w="733" w:type="dxa"/>
            <w:tcBorders>
              <w:top w:val="nil"/>
            </w:tcBorders>
            <w:shd w:val="clear" w:color="auto" w:fill="auto"/>
            <w:noWrap/>
            <w:vAlign w:val="center"/>
          </w:tcPr>
          <w:p w14:paraId="6081AE9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124</w:t>
            </w:r>
          </w:p>
        </w:tc>
        <w:tc>
          <w:tcPr>
            <w:tcW w:w="1427" w:type="dxa"/>
            <w:tcBorders>
              <w:top w:val="nil"/>
            </w:tcBorders>
            <w:shd w:val="clear" w:color="auto" w:fill="auto"/>
            <w:noWrap/>
            <w:vAlign w:val="center"/>
          </w:tcPr>
          <w:p w14:paraId="6A12C6C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53.0</w:t>
            </w:r>
          </w:p>
        </w:tc>
      </w:tr>
      <w:tr w14:paraId="789CC8F6">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20D453F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w:t>
            </w:r>
          </w:p>
        </w:tc>
        <w:tc>
          <w:tcPr>
            <w:tcW w:w="1447" w:type="dxa"/>
            <w:shd w:val="clear" w:color="auto" w:fill="auto"/>
            <w:noWrap/>
            <w:vAlign w:val="center"/>
          </w:tcPr>
          <w:p w14:paraId="0CA6A61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53.7</w:t>
            </w:r>
          </w:p>
        </w:tc>
        <w:tc>
          <w:tcPr>
            <w:tcW w:w="675" w:type="dxa"/>
            <w:shd w:val="clear" w:color="auto" w:fill="auto"/>
            <w:noWrap/>
            <w:vAlign w:val="center"/>
          </w:tcPr>
          <w:p w14:paraId="703F8FE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44</w:t>
            </w:r>
          </w:p>
        </w:tc>
        <w:tc>
          <w:tcPr>
            <w:tcW w:w="1485" w:type="dxa"/>
            <w:shd w:val="clear" w:color="auto" w:fill="auto"/>
            <w:noWrap/>
            <w:vAlign w:val="center"/>
          </w:tcPr>
          <w:p w14:paraId="517FB9C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45.8</w:t>
            </w:r>
          </w:p>
        </w:tc>
        <w:tc>
          <w:tcPr>
            <w:tcW w:w="706" w:type="dxa"/>
            <w:shd w:val="clear" w:color="auto" w:fill="auto"/>
            <w:noWrap/>
            <w:vAlign w:val="center"/>
          </w:tcPr>
          <w:p w14:paraId="2C06D7B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85</w:t>
            </w:r>
          </w:p>
        </w:tc>
        <w:tc>
          <w:tcPr>
            <w:tcW w:w="1454" w:type="dxa"/>
            <w:shd w:val="clear" w:color="auto" w:fill="auto"/>
            <w:noWrap/>
            <w:vAlign w:val="center"/>
          </w:tcPr>
          <w:p w14:paraId="1D8D775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52.0</w:t>
            </w:r>
          </w:p>
        </w:tc>
        <w:tc>
          <w:tcPr>
            <w:tcW w:w="733" w:type="dxa"/>
            <w:shd w:val="clear" w:color="auto" w:fill="auto"/>
            <w:noWrap/>
            <w:vAlign w:val="center"/>
          </w:tcPr>
          <w:p w14:paraId="57274C5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125</w:t>
            </w:r>
          </w:p>
        </w:tc>
        <w:tc>
          <w:tcPr>
            <w:tcW w:w="1427" w:type="dxa"/>
            <w:shd w:val="clear" w:color="auto" w:fill="auto"/>
            <w:noWrap/>
            <w:vAlign w:val="center"/>
          </w:tcPr>
          <w:p w14:paraId="19A8B7B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44.6</w:t>
            </w:r>
          </w:p>
        </w:tc>
      </w:tr>
      <w:tr w14:paraId="7D0AE234">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31D66B4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w:t>
            </w:r>
          </w:p>
        </w:tc>
        <w:tc>
          <w:tcPr>
            <w:tcW w:w="1447" w:type="dxa"/>
            <w:shd w:val="clear" w:color="auto" w:fill="auto"/>
            <w:noWrap/>
            <w:vAlign w:val="center"/>
          </w:tcPr>
          <w:p w14:paraId="09DE111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48.5</w:t>
            </w:r>
          </w:p>
        </w:tc>
        <w:tc>
          <w:tcPr>
            <w:tcW w:w="675" w:type="dxa"/>
            <w:shd w:val="clear" w:color="auto" w:fill="auto"/>
            <w:noWrap/>
            <w:vAlign w:val="center"/>
          </w:tcPr>
          <w:p w14:paraId="274306E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45</w:t>
            </w:r>
          </w:p>
        </w:tc>
        <w:tc>
          <w:tcPr>
            <w:tcW w:w="1485" w:type="dxa"/>
            <w:shd w:val="clear" w:color="auto" w:fill="auto"/>
            <w:noWrap/>
            <w:vAlign w:val="center"/>
          </w:tcPr>
          <w:p w14:paraId="516BF04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55.7</w:t>
            </w:r>
          </w:p>
        </w:tc>
        <w:tc>
          <w:tcPr>
            <w:tcW w:w="706" w:type="dxa"/>
            <w:shd w:val="clear" w:color="auto" w:fill="auto"/>
            <w:noWrap/>
            <w:vAlign w:val="center"/>
          </w:tcPr>
          <w:p w14:paraId="34EDCE6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86</w:t>
            </w:r>
          </w:p>
        </w:tc>
        <w:tc>
          <w:tcPr>
            <w:tcW w:w="1454" w:type="dxa"/>
            <w:shd w:val="clear" w:color="auto" w:fill="auto"/>
            <w:noWrap/>
            <w:vAlign w:val="center"/>
          </w:tcPr>
          <w:p w14:paraId="2213190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45.0</w:t>
            </w:r>
          </w:p>
        </w:tc>
        <w:tc>
          <w:tcPr>
            <w:tcW w:w="733" w:type="dxa"/>
            <w:shd w:val="clear" w:color="auto" w:fill="auto"/>
            <w:noWrap/>
            <w:vAlign w:val="center"/>
          </w:tcPr>
          <w:p w14:paraId="51B33D4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126</w:t>
            </w:r>
          </w:p>
        </w:tc>
        <w:tc>
          <w:tcPr>
            <w:tcW w:w="1427" w:type="dxa"/>
            <w:shd w:val="clear" w:color="auto" w:fill="auto"/>
            <w:noWrap/>
            <w:vAlign w:val="center"/>
          </w:tcPr>
          <w:p w14:paraId="6443185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50.4</w:t>
            </w:r>
          </w:p>
        </w:tc>
      </w:tr>
      <w:tr w14:paraId="427FB50C">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2594E21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w:t>
            </w:r>
          </w:p>
        </w:tc>
        <w:tc>
          <w:tcPr>
            <w:tcW w:w="1447" w:type="dxa"/>
            <w:shd w:val="clear" w:color="auto" w:fill="auto"/>
            <w:noWrap/>
            <w:vAlign w:val="center"/>
          </w:tcPr>
          <w:p w14:paraId="5BB2A0A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47.8</w:t>
            </w:r>
          </w:p>
        </w:tc>
        <w:tc>
          <w:tcPr>
            <w:tcW w:w="675" w:type="dxa"/>
            <w:shd w:val="clear" w:color="auto" w:fill="auto"/>
            <w:noWrap/>
            <w:vAlign w:val="center"/>
          </w:tcPr>
          <w:p w14:paraId="6EC978F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w:t>
            </w:r>
          </w:p>
        </w:tc>
        <w:tc>
          <w:tcPr>
            <w:tcW w:w="1485" w:type="dxa"/>
            <w:shd w:val="clear" w:color="auto" w:fill="auto"/>
            <w:noWrap/>
            <w:vAlign w:val="center"/>
          </w:tcPr>
          <w:p w14:paraId="423256D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64.6</w:t>
            </w:r>
          </w:p>
        </w:tc>
        <w:tc>
          <w:tcPr>
            <w:tcW w:w="706" w:type="dxa"/>
            <w:shd w:val="clear" w:color="auto" w:fill="auto"/>
            <w:noWrap/>
            <w:vAlign w:val="center"/>
          </w:tcPr>
          <w:p w14:paraId="203AA8D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87</w:t>
            </w:r>
          </w:p>
        </w:tc>
        <w:tc>
          <w:tcPr>
            <w:tcW w:w="1454" w:type="dxa"/>
            <w:shd w:val="clear" w:color="auto" w:fill="auto"/>
            <w:noWrap/>
            <w:vAlign w:val="center"/>
          </w:tcPr>
          <w:p w14:paraId="056AEF3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49.6</w:t>
            </w:r>
          </w:p>
        </w:tc>
        <w:tc>
          <w:tcPr>
            <w:tcW w:w="733" w:type="dxa"/>
            <w:shd w:val="clear" w:color="auto" w:fill="auto"/>
            <w:noWrap/>
            <w:vAlign w:val="center"/>
          </w:tcPr>
          <w:p w14:paraId="72678E3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127</w:t>
            </w:r>
          </w:p>
        </w:tc>
        <w:tc>
          <w:tcPr>
            <w:tcW w:w="1427" w:type="dxa"/>
            <w:shd w:val="clear" w:color="auto" w:fill="auto"/>
            <w:noWrap/>
            <w:vAlign w:val="center"/>
          </w:tcPr>
          <w:p w14:paraId="09C76BD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67.4</w:t>
            </w:r>
          </w:p>
        </w:tc>
      </w:tr>
      <w:tr w14:paraId="299CB640">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385166D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w:t>
            </w:r>
          </w:p>
        </w:tc>
        <w:tc>
          <w:tcPr>
            <w:tcW w:w="1447" w:type="dxa"/>
            <w:shd w:val="clear" w:color="auto" w:fill="auto"/>
            <w:noWrap/>
            <w:vAlign w:val="center"/>
          </w:tcPr>
          <w:p w14:paraId="25E281D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43.0</w:t>
            </w:r>
          </w:p>
        </w:tc>
        <w:tc>
          <w:tcPr>
            <w:tcW w:w="675" w:type="dxa"/>
            <w:shd w:val="clear" w:color="auto" w:fill="auto"/>
            <w:noWrap/>
            <w:vAlign w:val="center"/>
          </w:tcPr>
          <w:p w14:paraId="7D9C297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47</w:t>
            </w:r>
          </w:p>
        </w:tc>
        <w:tc>
          <w:tcPr>
            <w:tcW w:w="1485" w:type="dxa"/>
            <w:shd w:val="clear" w:color="auto" w:fill="auto"/>
            <w:noWrap/>
            <w:vAlign w:val="center"/>
          </w:tcPr>
          <w:p w14:paraId="6AEF869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42.3</w:t>
            </w:r>
          </w:p>
        </w:tc>
        <w:tc>
          <w:tcPr>
            <w:tcW w:w="706" w:type="dxa"/>
            <w:shd w:val="clear" w:color="auto" w:fill="auto"/>
            <w:noWrap/>
            <w:vAlign w:val="center"/>
          </w:tcPr>
          <w:p w14:paraId="020ADF9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88</w:t>
            </w:r>
          </w:p>
        </w:tc>
        <w:tc>
          <w:tcPr>
            <w:tcW w:w="1454" w:type="dxa"/>
            <w:shd w:val="clear" w:color="auto" w:fill="auto"/>
            <w:noWrap/>
            <w:vAlign w:val="center"/>
          </w:tcPr>
          <w:p w14:paraId="762F84A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55.0</w:t>
            </w:r>
          </w:p>
        </w:tc>
        <w:tc>
          <w:tcPr>
            <w:tcW w:w="733" w:type="dxa"/>
            <w:shd w:val="clear" w:color="auto" w:fill="auto"/>
            <w:noWrap/>
            <w:vAlign w:val="center"/>
          </w:tcPr>
          <w:p w14:paraId="1800153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128</w:t>
            </w:r>
          </w:p>
        </w:tc>
        <w:tc>
          <w:tcPr>
            <w:tcW w:w="1427" w:type="dxa"/>
            <w:shd w:val="clear" w:color="auto" w:fill="auto"/>
            <w:noWrap/>
            <w:vAlign w:val="center"/>
          </w:tcPr>
          <w:p w14:paraId="563AD22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55.2</w:t>
            </w:r>
          </w:p>
        </w:tc>
      </w:tr>
      <w:tr w14:paraId="5333B642">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7C0882C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w:t>
            </w:r>
          </w:p>
        </w:tc>
        <w:tc>
          <w:tcPr>
            <w:tcW w:w="1447" w:type="dxa"/>
            <w:shd w:val="clear" w:color="auto" w:fill="auto"/>
            <w:noWrap/>
            <w:vAlign w:val="center"/>
          </w:tcPr>
          <w:p w14:paraId="6D8ECC3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45.0</w:t>
            </w:r>
          </w:p>
        </w:tc>
        <w:tc>
          <w:tcPr>
            <w:tcW w:w="675" w:type="dxa"/>
            <w:shd w:val="clear" w:color="auto" w:fill="auto"/>
            <w:noWrap/>
            <w:vAlign w:val="center"/>
          </w:tcPr>
          <w:p w14:paraId="1A3E0B0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48</w:t>
            </w:r>
          </w:p>
        </w:tc>
        <w:tc>
          <w:tcPr>
            <w:tcW w:w="1485" w:type="dxa"/>
            <w:shd w:val="clear" w:color="auto" w:fill="auto"/>
            <w:noWrap/>
            <w:vAlign w:val="center"/>
          </w:tcPr>
          <w:p w14:paraId="59395D9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41.8</w:t>
            </w:r>
          </w:p>
        </w:tc>
        <w:tc>
          <w:tcPr>
            <w:tcW w:w="706" w:type="dxa"/>
            <w:shd w:val="clear" w:color="auto" w:fill="auto"/>
            <w:noWrap/>
            <w:vAlign w:val="center"/>
          </w:tcPr>
          <w:p w14:paraId="08C91C9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89</w:t>
            </w:r>
          </w:p>
        </w:tc>
        <w:tc>
          <w:tcPr>
            <w:tcW w:w="1454" w:type="dxa"/>
            <w:shd w:val="clear" w:color="auto" w:fill="auto"/>
            <w:noWrap/>
            <w:vAlign w:val="center"/>
          </w:tcPr>
          <w:p w14:paraId="265B7EF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46.0</w:t>
            </w:r>
          </w:p>
        </w:tc>
        <w:tc>
          <w:tcPr>
            <w:tcW w:w="733" w:type="dxa"/>
            <w:shd w:val="clear" w:color="auto" w:fill="auto"/>
            <w:noWrap/>
            <w:vAlign w:val="center"/>
          </w:tcPr>
          <w:p w14:paraId="1F21971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129</w:t>
            </w:r>
          </w:p>
        </w:tc>
        <w:tc>
          <w:tcPr>
            <w:tcW w:w="1427" w:type="dxa"/>
            <w:shd w:val="clear" w:color="auto" w:fill="auto"/>
            <w:noWrap/>
            <w:vAlign w:val="center"/>
          </w:tcPr>
          <w:p w14:paraId="66AE991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55.0</w:t>
            </w:r>
          </w:p>
        </w:tc>
      </w:tr>
      <w:tr w14:paraId="607889F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01E3F6F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w:t>
            </w:r>
          </w:p>
        </w:tc>
        <w:tc>
          <w:tcPr>
            <w:tcW w:w="1447" w:type="dxa"/>
            <w:shd w:val="clear" w:color="auto" w:fill="auto"/>
            <w:noWrap/>
            <w:vAlign w:val="center"/>
          </w:tcPr>
          <w:p w14:paraId="218543C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46.0</w:t>
            </w:r>
          </w:p>
        </w:tc>
        <w:tc>
          <w:tcPr>
            <w:tcW w:w="675" w:type="dxa"/>
            <w:shd w:val="clear" w:color="auto" w:fill="auto"/>
            <w:noWrap/>
            <w:vAlign w:val="center"/>
          </w:tcPr>
          <w:p w14:paraId="10862D6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49</w:t>
            </w:r>
          </w:p>
        </w:tc>
        <w:tc>
          <w:tcPr>
            <w:tcW w:w="1485" w:type="dxa"/>
            <w:shd w:val="clear" w:color="auto" w:fill="auto"/>
            <w:noWrap/>
            <w:vAlign w:val="center"/>
          </w:tcPr>
          <w:p w14:paraId="06884F1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43.0</w:t>
            </w:r>
          </w:p>
        </w:tc>
        <w:tc>
          <w:tcPr>
            <w:tcW w:w="706" w:type="dxa"/>
            <w:shd w:val="clear" w:color="auto" w:fill="auto"/>
            <w:noWrap/>
            <w:vAlign w:val="center"/>
          </w:tcPr>
          <w:p w14:paraId="364EDF3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90</w:t>
            </w:r>
          </w:p>
        </w:tc>
        <w:tc>
          <w:tcPr>
            <w:tcW w:w="1454" w:type="dxa"/>
            <w:shd w:val="clear" w:color="auto" w:fill="auto"/>
            <w:noWrap/>
            <w:vAlign w:val="center"/>
          </w:tcPr>
          <w:p w14:paraId="0AD58A1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42.2</w:t>
            </w:r>
          </w:p>
        </w:tc>
        <w:tc>
          <w:tcPr>
            <w:tcW w:w="733" w:type="dxa"/>
            <w:shd w:val="clear" w:color="auto" w:fill="auto"/>
            <w:noWrap/>
            <w:vAlign w:val="center"/>
          </w:tcPr>
          <w:p w14:paraId="3D1E35D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130</w:t>
            </w:r>
          </w:p>
        </w:tc>
        <w:tc>
          <w:tcPr>
            <w:tcW w:w="1427" w:type="dxa"/>
            <w:shd w:val="clear" w:color="auto" w:fill="auto"/>
            <w:noWrap/>
            <w:vAlign w:val="center"/>
          </w:tcPr>
          <w:p w14:paraId="4B0380F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57.4</w:t>
            </w:r>
          </w:p>
        </w:tc>
      </w:tr>
      <w:tr w14:paraId="69D0E14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0B51553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w:t>
            </w:r>
          </w:p>
        </w:tc>
        <w:tc>
          <w:tcPr>
            <w:tcW w:w="1447" w:type="dxa"/>
            <w:shd w:val="clear" w:color="auto" w:fill="auto"/>
            <w:noWrap/>
            <w:vAlign w:val="center"/>
          </w:tcPr>
          <w:p w14:paraId="4A40122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42.7</w:t>
            </w:r>
          </w:p>
        </w:tc>
        <w:tc>
          <w:tcPr>
            <w:tcW w:w="675" w:type="dxa"/>
            <w:shd w:val="clear" w:color="auto" w:fill="auto"/>
            <w:noWrap/>
            <w:vAlign w:val="center"/>
          </w:tcPr>
          <w:p w14:paraId="17061C5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50</w:t>
            </w:r>
          </w:p>
        </w:tc>
        <w:tc>
          <w:tcPr>
            <w:tcW w:w="1485" w:type="dxa"/>
            <w:shd w:val="clear" w:color="auto" w:fill="auto"/>
            <w:noWrap/>
            <w:vAlign w:val="center"/>
          </w:tcPr>
          <w:p w14:paraId="607A273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52.0</w:t>
            </w:r>
          </w:p>
        </w:tc>
        <w:tc>
          <w:tcPr>
            <w:tcW w:w="706" w:type="dxa"/>
            <w:shd w:val="clear" w:color="auto" w:fill="auto"/>
            <w:noWrap/>
            <w:vAlign w:val="center"/>
          </w:tcPr>
          <w:p w14:paraId="493E911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91</w:t>
            </w:r>
          </w:p>
        </w:tc>
        <w:tc>
          <w:tcPr>
            <w:tcW w:w="1454" w:type="dxa"/>
            <w:shd w:val="clear" w:color="auto" w:fill="auto"/>
            <w:noWrap/>
            <w:vAlign w:val="center"/>
          </w:tcPr>
          <w:p w14:paraId="0050F6B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40.6</w:t>
            </w:r>
          </w:p>
        </w:tc>
        <w:tc>
          <w:tcPr>
            <w:tcW w:w="733" w:type="dxa"/>
            <w:shd w:val="clear" w:color="auto" w:fill="auto"/>
            <w:noWrap/>
            <w:vAlign w:val="center"/>
          </w:tcPr>
          <w:p w14:paraId="3D15E91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131</w:t>
            </w:r>
          </w:p>
        </w:tc>
        <w:tc>
          <w:tcPr>
            <w:tcW w:w="1427" w:type="dxa"/>
            <w:shd w:val="clear" w:color="auto" w:fill="auto"/>
            <w:noWrap/>
            <w:vAlign w:val="center"/>
          </w:tcPr>
          <w:p w14:paraId="0C9C78B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66.1</w:t>
            </w:r>
          </w:p>
        </w:tc>
      </w:tr>
      <w:tr w14:paraId="68ECFDB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0D5F028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w:t>
            </w:r>
          </w:p>
        </w:tc>
        <w:tc>
          <w:tcPr>
            <w:tcW w:w="1447" w:type="dxa"/>
            <w:shd w:val="clear" w:color="auto" w:fill="auto"/>
            <w:noWrap/>
            <w:vAlign w:val="center"/>
          </w:tcPr>
          <w:p w14:paraId="10F02B6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43.7</w:t>
            </w:r>
          </w:p>
        </w:tc>
        <w:tc>
          <w:tcPr>
            <w:tcW w:w="675" w:type="dxa"/>
            <w:shd w:val="clear" w:color="auto" w:fill="auto"/>
            <w:noWrap/>
            <w:vAlign w:val="center"/>
          </w:tcPr>
          <w:p w14:paraId="68BD5FF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w:t>
            </w:r>
          </w:p>
        </w:tc>
        <w:tc>
          <w:tcPr>
            <w:tcW w:w="1485" w:type="dxa"/>
            <w:shd w:val="clear" w:color="auto" w:fill="auto"/>
            <w:noWrap/>
            <w:vAlign w:val="center"/>
          </w:tcPr>
          <w:p w14:paraId="441748E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42.1</w:t>
            </w:r>
          </w:p>
        </w:tc>
        <w:tc>
          <w:tcPr>
            <w:tcW w:w="706" w:type="dxa"/>
            <w:shd w:val="clear" w:color="auto" w:fill="auto"/>
            <w:noWrap/>
            <w:vAlign w:val="center"/>
          </w:tcPr>
          <w:p w14:paraId="4C543B9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92</w:t>
            </w:r>
          </w:p>
        </w:tc>
        <w:tc>
          <w:tcPr>
            <w:tcW w:w="1454" w:type="dxa"/>
            <w:shd w:val="clear" w:color="auto" w:fill="auto"/>
            <w:noWrap/>
            <w:vAlign w:val="center"/>
          </w:tcPr>
          <w:p w14:paraId="567E740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51.6</w:t>
            </w:r>
          </w:p>
        </w:tc>
        <w:tc>
          <w:tcPr>
            <w:tcW w:w="733" w:type="dxa"/>
            <w:shd w:val="clear" w:color="auto" w:fill="auto"/>
            <w:noWrap/>
            <w:vAlign w:val="center"/>
          </w:tcPr>
          <w:p w14:paraId="4C372E6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132</w:t>
            </w:r>
          </w:p>
        </w:tc>
        <w:tc>
          <w:tcPr>
            <w:tcW w:w="1427" w:type="dxa"/>
            <w:shd w:val="clear" w:color="auto" w:fill="auto"/>
            <w:noWrap/>
            <w:vAlign w:val="center"/>
          </w:tcPr>
          <w:p w14:paraId="7BFB0B4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42.0</w:t>
            </w:r>
          </w:p>
        </w:tc>
      </w:tr>
      <w:tr w14:paraId="4320628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66CEE5D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w:t>
            </w:r>
          </w:p>
        </w:tc>
        <w:tc>
          <w:tcPr>
            <w:tcW w:w="1447" w:type="dxa"/>
            <w:shd w:val="clear" w:color="auto" w:fill="auto"/>
            <w:noWrap/>
            <w:vAlign w:val="center"/>
          </w:tcPr>
          <w:p w14:paraId="2A54736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63.7</w:t>
            </w:r>
          </w:p>
        </w:tc>
        <w:tc>
          <w:tcPr>
            <w:tcW w:w="675" w:type="dxa"/>
            <w:shd w:val="clear" w:color="auto" w:fill="auto"/>
            <w:noWrap/>
            <w:vAlign w:val="center"/>
          </w:tcPr>
          <w:p w14:paraId="04DCDBE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52</w:t>
            </w:r>
          </w:p>
        </w:tc>
        <w:tc>
          <w:tcPr>
            <w:tcW w:w="1485" w:type="dxa"/>
            <w:shd w:val="clear" w:color="auto" w:fill="auto"/>
            <w:noWrap/>
            <w:vAlign w:val="center"/>
          </w:tcPr>
          <w:p w14:paraId="27ED662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46.3</w:t>
            </w:r>
          </w:p>
        </w:tc>
        <w:tc>
          <w:tcPr>
            <w:tcW w:w="706" w:type="dxa"/>
            <w:shd w:val="clear" w:color="auto" w:fill="auto"/>
            <w:noWrap/>
            <w:vAlign w:val="center"/>
          </w:tcPr>
          <w:p w14:paraId="59744D8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w:t>
            </w:r>
          </w:p>
        </w:tc>
        <w:tc>
          <w:tcPr>
            <w:tcW w:w="1454" w:type="dxa"/>
            <w:shd w:val="clear" w:color="auto" w:fill="auto"/>
            <w:noWrap/>
            <w:vAlign w:val="center"/>
          </w:tcPr>
          <w:p w14:paraId="5DCEA40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53.9</w:t>
            </w:r>
          </w:p>
        </w:tc>
        <w:tc>
          <w:tcPr>
            <w:tcW w:w="733" w:type="dxa"/>
            <w:shd w:val="clear" w:color="auto" w:fill="auto"/>
            <w:noWrap/>
            <w:vAlign w:val="center"/>
          </w:tcPr>
          <w:p w14:paraId="5B76BF8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133</w:t>
            </w:r>
          </w:p>
        </w:tc>
        <w:tc>
          <w:tcPr>
            <w:tcW w:w="1427" w:type="dxa"/>
            <w:shd w:val="clear" w:color="auto" w:fill="auto"/>
            <w:noWrap/>
            <w:vAlign w:val="center"/>
          </w:tcPr>
          <w:p w14:paraId="759DD5C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47.1</w:t>
            </w:r>
          </w:p>
        </w:tc>
      </w:tr>
      <w:tr w14:paraId="7328F45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4C6FD5E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w:t>
            </w:r>
          </w:p>
        </w:tc>
        <w:tc>
          <w:tcPr>
            <w:tcW w:w="1447" w:type="dxa"/>
            <w:shd w:val="clear" w:color="auto" w:fill="auto"/>
            <w:noWrap/>
            <w:vAlign w:val="center"/>
          </w:tcPr>
          <w:p w14:paraId="796D5C4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40.1</w:t>
            </w:r>
          </w:p>
        </w:tc>
        <w:tc>
          <w:tcPr>
            <w:tcW w:w="675" w:type="dxa"/>
            <w:shd w:val="clear" w:color="auto" w:fill="auto"/>
            <w:noWrap/>
            <w:vAlign w:val="center"/>
          </w:tcPr>
          <w:p w14:paraId="737AD2F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w:t>
            </w:r>
          </w:p>
        </w:tc>
        <w:tc>
          <w:tcPr>
            <w:tcW w:w="1485" w:type="dxa"/>
            <w:shd w:val="clear" w:color="auto" w:fill="auto"/>
            <w:noWrap/>
            <w:vAlign w:val="center"/>
          </w:tcPr>
          <w:p w14:paraId="49FBEAE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42.3</w:t>
            </w:r>
          </w:p>
        </w:tc>
        <w:tc>
          <w:tcPr>
            <w:tcW w:w="706" w:type="dxa"/>
            <w:shd w:val="clear" w:color="auto" w:fill="auto"/>
            <w:noWrap/>
            <w:vAlign w:val="center"/>
          </w:tcPr>
          <w:p w14:paraId="606E868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94</w:t>
            </w:r>
          </w:p>
        </w:tc>
        <w:tc>
          <w:tcPr>
            <w:tcW w:w="1454" w:type="dxa"/>
            <w:shd w:val="clear" w:color="auto" w:fill="auto"/>
            <w:noWrap/>
            <w:vAlign w:val="center"/>
          </w:tcPr>
          <w:p w14:paraId="0B2C3CF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45.0</w:t>
            </w:r>
          </w:p>
        </w:tc>
        <w:tc>
          <w:tcPr>
            <w:tcW w:w="733" w:type="dxa"/>
            <w:shd w:val="clear" w:color="auto" w:fill="auto"/>
            <w:noWrap/>
            <w:vAlign w:val="center"/>
          </w:tcPr>
          <w:p w14:paraId="3B2AB71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134</w:t>
            </w:r>
          </w:p>
        </w:tc>
        <w:tc>
          <w:tcPr>
            <w:tcW w:w="1427" w:type="dxa"/>
            <w:shd w:val="clear" w:color="auto" w:fill="auto"/>
            <w:noWrap/>
            <w:vAlign w:val="center"/>
          </w:tcPr>
          <w:p w14:paraId="70BF3A3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40.7</w:t>
            </w:r>
          </w:p>
        </w:tc>
      </w:tr>
      <w:tr w14:paraId="2C9517B7">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0531CB6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w:t>
            </w:r>
          </w:p>
        </w:tc>
        <w:tc>
          <w:tcPr>
            <w:tcW w:w="1447" w:type="dxa"/>
            <w:shd w:val="clear" w:color="auto" w:fill="auto"/>
            <w:noWrap/>
            <w:vAlign w:val="center"/>
          </w:tcPr>
          <w:p w14:paraId="6253F6C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53.0</w:t>
            </w:r>
          </w:p>
        </w:tc>
        <w:tc>
          <w:tcPr>
            <w:tcW w:w="675" w:type="dxa"/>
            <w:shd w:val="clear" w:color="auto" w:fill="auto"/>
            <w:noWrap/>
            <w:vAlign w:val="center"/>
          </w:tcPr>
          <w:p w14:paraId="4A2EB5B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54</w:t>
            </w:r>
          </w:p>
        </w:tc>
        <w:tc>
          <w:tcPr>
            <w:tcW w:w="1485" w:type="dxa"/>
            <w:shd w:val="clear" w:color="auto" w:fill="auto"/>
            <w:noWrap/>
            <w:vAlign w:val="center"/>
          </w:tcPr>
          <w:p w14:paraId="7CFCFDC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41.0</w:t>
            </w:r>
          </w:p>
        </w:tc>
        <w:tc>
          <w:tcPr>
            <w:tcW w:w="706" w:type="dxa"/>
            <w:shd w:val="clear" w:color="auto" w:fill="auto"/>
            <w:noWrap/>
            <w:vAlign w:val="center"/>
          </w:tcPr>
          <w:p w14:paraId="10A070C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95</w:t>
            </w:r>
          </w:p>
        </w:tc>
        <w:tc>
          <w:tcPr>
            <w:tcW w:w="1454" w:type="dxa"/>
            <w:shd w:val="clear" w:color="auto" w:fill="auto"/>
            <w:noWrap/>
            <w:vAlign w:val="center"/>
          </w:tcPr>
          <w:p w14:paraId="7613E9E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47.8</w:t>
            </w:r>
          </w:p>
        </w:tc>
        <w:tc>
          <w:tcPr>
            <w:tcW w:w="733" w:type="dxa"/>
            <w:shd w:val="clear" w:color="auto" w:fill="auto"/>
            <w:noWrap/>
            <w:vAlign w:val="center"/>
          </w:tcPr>
          <w:p w14:paraId="7500E15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135</w:t>
            </w:r>
          </w:p>
        </w:tc>
        <w:tc>
          <w:tcPr>
            <w:tcW w:w="1427" w:type="dxa"/>
            <w:shd w:val="clear" w:color="auto" w:fill="auto"/>
            <w:noWrap/>
            <w:vAlign w:val="center"/>
          </w:tcPr>
          <w:p w14:paraId="3DD196D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57.1</w:t>
            </w:r>
          </w:p>
        </w:tc>
      </w:tr>
      <w:tr w14:paraId="79DE5B6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6EBB9E3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w:t>
            </w:r>
          </w:p>
        </w:tc>
        <w:tc>
          <w:tcPr>
            <w:tcW w:w="1447" w:type="dxa"/>
            <w:shd w:val="clear" w:color="auto" w:fill="auto"/>
            <w:noWrap/>
            <w:vAlign w:val="center"/>
          </w:tcPr>
          <w:p w14:paraId="2EB2BDC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53.0</w:t>
            </w:r>
          </w:p>
        </w:tc>
        <w:tc>
          <w:tcPr>
            <w:tcW w:w="675" w:type="dxa"/>
            <w:shd w:val="clear" w:color="auto" w:fill="auto"/>
            <w:noWrap/>
            <w:vAlign w:val="center"/>
          </w:tcPr>
          <w:p w14:paraId="1A26CAD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w:t>
            </w:r>
          </w:p>
        </w:tc>
        <w:tc>
          <w:tcPr>
            <w:tcW w:w="1485" w:type="dxa"/>
            <w:shd w:val="clear" w:color="auto" w:fill="auto"/>
            <w:noWrap/>
            <w:vAlign w:val="center"/>
          </w:tcPr>
          <w:p w14:paraId="5D3F79C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48.3</w:t>
            </w:r>
          </w:p>
        </w:tc>
        <w:tc>
          <w:tcPr>
            <w:tcW w:w="706" w:type="dxa"/>
            <w:shd w:val="clear" w:color="auto" w:fill="auto"/>
            <w:noWrap/>
            <w:vAlign w:val="center"/>
          </w:tcPr>
          <w:p w14:paraId="672EEC6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96</w:t>
            </w:r>
          </w:p>
        </w:tc>
        <w:tc>
          <w:tcPr>
            <w:tcW w:w="1454" w:type="dxa"/>
            <w:shd w:val="clear" w:color="auto" w:fill="auto"/>
            <w:noWrap/>
            <w:vAlign w:val="center"/>
          </w:tcPr>
          <w:p w14:paraId="0E301EF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50.7</w:t>
            </w:r>
          </w:p>
        </w:tc>
        <w:tc>
          <w:tcPr>
            <w:tcW w:w="733" w:type="dxa"/>
            <w:shd w:val="clear" w:color="auto" w:fill="auto"/>
            <w:noWrap/>
            <w:vAlign w:val="center"/>
          </w:tcPr>
          <w:p w14:paraId="67207A4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136</w:t>
            </w:r>
          </w:p>
        </w:tc>
        <w:tc>
          <w:tcPr>
            <w:tcW w:w="1427" w:type="dxa"/>
            <w:shd w:val="clear" w:color="auto" w:fill="auto"/>
            <w:noWrap/>
            <w:vAlign w:val="center"/>
          </w:tcPr>
          <w:p w14:paraId="6400483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46.4</w:t>
            </w:r>
          </w:p>
        </w:tc>
      </w:tr>
      <w:tr w14:paraId="40AFFF03">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6266B72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w:t>
            </w:r>
          </w:p>
        </w:tc>
        <w:tc>
          <w:tcPr>
            <w:tcW w:w="1447" w:type="dxa"/>
            <w:shd w:val="clear" w:color="auto" w:fill="auto"/>
            <w:noWrap/>
            <w:vAlign w:val="center"/>
          </w:tcPr>
          <w:p w14:paraId="198CF02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56.6</w:t>
            </w:r>
          </w:p>
        </w:tc>
        <w:tc>
          <w:tcPr>
            <w:tcW w:w="675" w:type="dxa"/>
            <w:shd w:val="clear" w:color="auto" w:fill="auto"/>
            <w:noWrap/>
            <w:vAlign w:val="center"/>
          </w:tcPr>
          <w:p w14:paraId="4EE6606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56</w:t>
            </w:r>
          </w:p>
        </w:tc>
        <w:tc>
          <w:tcPr>
            <w:tcW w:w="1485" w:type="dxa"/>
            <w:shd w:val="clear" w:color="auto" w:fill="auto"/>
            <w:noWrap/>
            <w:vAlign w:val="center"/>
          </w:tcPr>
          <w:p w14:paraId="770D7E3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46.8</w:t>
            </w:r>
          </w:p>
        </w:tc>
        <w:tc>
          <w:tcPr>
            <w:tcW w:w="706" w:type="dxa"/>
            <w:shd w:val="clear" w:color="auto" w:fill="auto"/>
            <w:noWrap/>
            <w:vAlign w:val="center"/>
          </w:tcPr>
          <w:p w14:paraId="5BB047F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97</w:t>
            </w:r>
          </w:p>
        </w:tc>
        <w:tc>
          <w:tcPr>
            <w:tcW w:w="1454" w:type="dxa"/>
            <w:shd w:val="clear" w:color="auto" w:fill="auto"/>
            <w:noWrap/>
            <w:vAlign w:val="center"/>
          </w:tcPr>
          <w:p w14:paraId="14C6BBB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58.8</w:t>
            </w:r>
          </w:p>
        </w:tc>
        <w:tc>
          <w:tcPr>
            <w:tcW w:w="733" w:type="dxa"/>
            <w:shd w:val="clear" w:color="auto" w:fill="auto"/>
            <w:noWrap/>
            <w:vAlign w:val="center"/>
          </w:tcPr>
          <w:p w14:paraId="271BDFD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137</w:t>
            </w:r>
          </w:p>
        </w:tc>
        <w:tc>
          <w:tcPr>
            <w:tcW w:w="1427" w:type="dxa"/>
            <w:shd w:val="clear" w:color="auto" w:fill="auto"/>
            <w:noWrap/>
            <w:vAlign w:val="center"/>
          </w:tcPr>
          <w:p w14:paraId="7366900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43.9</w:t>
            </w:r>
          </w:p>
        </w:tc>
      </w:tr>
      <w:tr w14:paraId="561C477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3AD6DED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16</w:t>
            </w:r>
          </w:p>
        </w:tc>
        <w:tc>
          <w:tcPr>
            <w:tcW w:w="1447" w:type="dxa"/>
            <w:shd w:val="clear" w:color="auto" w:fill="auto"/>
            <w:noWrap/>
            <w:vAlign w:val="center"/>
          </w:tcPr>
          <w:p w14:paraId="602FEC9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45.2</w:t>
            </w:r>
          </w:p>
        </w:tc>
        <w:tc>
          <w:tcPr>
            <w:tcW w:w="675" w:type="dxa"/>
            <w:shd w:val="clear" w:color="auto" w:fill="auto"/>
            <w:noWrap/>
            <w:vAlign w:val="center"/>
          </w:tcPr>
          <w:p w14:paraId="299555A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57</w:t>
            </w:r>
          </w:p>
        </w:tc>
        <w:tc>
          <w:tcPr>
            <w:tcW w:w="1485" w:type="dxa"/>
            <w:shd w:val="clear" w:color="auto" w:fill="auto"/>
            <w:noWrap/>
            <w:vAlign w:val="center"/>
          </w:tcPr>
          <w:p w14:paraId="61046D0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41.7</w:t>
            </w:r>
          </w:p>
        </w:tc>
        <w:tc>
          <w:tcPr>
            <w:tcW w:w="706" w:type="dxa"/>
            <w:shd w:val="clear" w:color="auto" w:fill="auto"/>
            <w:noWrap/>
            <w:vAlign w:val="center"/>
          </w:tcPr>
          <w:p w14:paraId="01D721E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98</w:t>
            </w:r>
          </w:p>
        </w:tc>
        <w:tc>
          <w:tcPr>
            <w:tcW w:w="1454" w:type="dxa"/>
            <w:shd w:val="clear" w:color="auto" w:fill="auto"/>
            <w:noWrap/>
            <w:vAlign w:val="center"/>
          </w:tcPr>
          <w:p w14:paraId="353B45A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46.2</w:t>
            </w:r>
          </w:p>
        </w:tc>
        <w:tc>
          <w:tcPr>
            <w:tcW w:w="733" w:type="dxa"/>
            <w:shd w:val="clear" w:color="auto" w:fill="auto"/>
            <w:noWrap/>
            <w:vAlign w:val="center"/>
          </w:tcPr>
          <w:p w14:paraId="3DECB34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138</w:t>
            </w:r>
          </w:p>
        </w:tc>
        <w:tc>
          <w:tcPr>
            <w:tcW w:w="1427" w:type="dxa"/>
            <w:shd w:val="clear" w:color="auto" w:fill="auto"/>
            <w:noWrap/>
            <w:vAlign w:val="center"/>
          </w:tcPr>
          <w:p w14:paraId="3CA6627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48.9</w:t>
            </w:r>
          </w:p>
        </w:tc>
      </w:tr>
      <w:tr w14:paraId="078EEC7C">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15EFABE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17</w:t>
            </w:r>
          </w:p>
        </w:tc>
        <w:tc>
          <w:tcPr>
            <w:tcW w:w="1447" w:type="dxa"/>
            <w:shd w:val="clear" w:color="auto" w:fill="auto"/>
            <w:noWrap/>
            <w:vAlign w:val="center"/>
          </w:tcPr>
          <w:p w14:paraId="26A3864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45.3</w:t>
            </w:r>
          </w:p>
        </w:tc>
        <w:tc>
          <w:tcPr>
            <w:tcW w:w="675" w:type="dxa"/>
            <w:shd w:val="clear" w:color="auto" w:fill="auto"/>
            <w:noWrap/>
            <w:vAlign w:val="center"/>
          </w:tcPr>
          <w:p w14:paraId="6A6424B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58</w:t>
            </w:r>
          </w:p>
        </w:tc>
        <w:tc>
          <w:tcPr>
            <w:tcW w:w="1485" w:type="dxa"/>
            <w:shd w:val="clear" w:color="auto" w:fill="auto"/>
            <w:noWrap/>
            <w:vAlign w:val="center"/>
          </w:tcPr>
          <w:p w14:paraId="1EE089A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47.4</w:t>
            </w:r>
          </w:p>
        </w:tc>
        <w:tc>
          <w:tcPr>
            <w:tcW w:w="706" w:type="dxa"/>
            <w:shd w:val="clear" w:color="auto" w:fill="auto"/>
            <w:noWrap/>
            <w:vAlign w:val="center"/>
          </w:tcPr>
          <w:p w14:paraId="270D55A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99</w:t>
            </w:r>
          </w:p>
        </w:tc>
        <w:tc>
          <w:tcPr>
            <w:tcW w:w="1454" w:type="dxa"/>
            <w:shd w:val="clear" w:color="auto" w:fill="auto"/>
            <w:noWrap/>
            <w:vAlign w:val="center"/>
          </w:tcPr>
          <w:p w14:paraId="459B07C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46.0</w:t>
            </w:r>
          </w:p>
        </w:tc>
        <w:tc>
          <w:tcPr>
            <w:tcW w:w="733" w:type="dxa"/>
            <w:shd w:val="clear" w:color="auto" w:fill="auto"/>
            <w:noWrap/>
            <w:vAlign w:val="center"/>
          </w:tcPr>
          <w:p w14:paraId="67858A7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139</w:t>
            </w:r>
          </w:p>
        </w:tc>
        <w:tc>
          <w:tcPr>
            <w:tcW w:w="1427" w:type="dxa"/>
            <w:shd w:val="clear" w:color="auto" w:fill="auto"/>
            <w:noWrap/>
            <w:vAlign w:val="center"/>
          </w:tcPr>
          <w:p w14:paraId="091F0EF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49.7</w:t>
            </w:r>
          </w:p>
        </w:tc>
      </w:tr>
      <w:tr w14:paraId="200E565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11130C1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18</w:t>
            </w:r>
          </w:p>
        </w:tc>
        <w:tc>
          <w:tcPr>
            <w:tcW w:w="1447" w:type="dxa"/>
            <w:shd w:val="clear" w:color="auto" w:fill="auto"/>
            <w:noWrap/>
            <w:vAlign w:val="center"/>
          </w:tcPr>
          <w:p w14:paraId="22C3AD4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43.0</w:t>
            </w:r>
          </w:p>
        </w:tc>
        <w:tc>
          <w:tcPr>
            <w:tcW w:w="675" w:type="dxa"/>
            <w:shd w:val="clear" w:color="auto" w:fill="auto"/>
            <w:noWrap/>
            <w:vAlign w:val="center"/>
          </w:tcPr>
          <w:p w14:paraId="47DBCF0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59</w:t>
            </w:r>
          </w:p>
        </w:tc>
        <w:tc>
          <w:tcPr>
            <w:tcW w:w="1485" w:type="dxa"/>
            <w:shd w:val="clear" w:color="auto" w:fill="auto"/>
            <w:noWrap/>
            <w:vAlign w:val="center"/>
          </w:tcPr>
          <w:p w14:paraId="56A2A6B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41.6</w:t>
            </w:r>
          </w:p>
        </w:tc>
        <w:tc>
          <w:tcPr>
            <w:tcW w:w="706" w:type="dxa"/>
            <w:shd w:val="clear" w:color="auto" w:fill="auto"/>
            <w:noWrap/>
            <w:vAlign w:val="center"/>
          </w:tcPr>
          <w:p w14:paraId="38E1E25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100</w:t>
            </w:r>
          </w:p>
        </w:tc>
        <w:tc>
          <w:tcPr>
            <w:tcW w:w="1454" w:type="dxa"/>
            <w:shd w:val="clear" w:color="auto" w:fill="auto"/>
            <w:noWrap/>
            <w:vAlign w:val="center"/>
          </w:tcPr>
          <w:p w14:paraId="4CB5F29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46.6</w:t>
            </w:r>
          </w:p>
        </w:tc>
        <w:tc>
          <w:tcPr>
            <w:tcW w:w="733" w:type="dxa"/>
            <w:shd w:val="clear" w:color="auto" w:fill="auto"/>
            <w:noWrap/>
            <w:vAlign w:val="center"/>
          </w:tcPr>
          <w:p w14:paraId="7B2928E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140</w:t>
            </w:r>
          </w:p>
        </w:tc>
        <w:tc>
          <w:tcPr>
            <w:tcW w:w="1427" w:type="dxa"/>
            <w:shd w:val="clear" w:color="auto" w:fill="auto"/>
            <w:noWrap/>
            <w:vAlign w:val="center"/>
          </w:tcPr>
          <w:p w14:paraId="75141FA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58.1</w:t>
            </w:r>
          </w:p>
        </w:tc>
      </w:tr>
      <w:tr w14:paraId="0039D348">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6113A61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19</w:t>
            </w:r>
          </w:p>
        </w:tc>
        <w:tc>
          <w:tcPr>
            <w:tcW w:w="1447" w:type="dxa"/>
            <w:shd w:val="clear" w:color="auto" w:fill="auto"/>
            <w:noWrap/>
            <w:vAlign w:val="center"/>
          </w:tcPr>
          <w:p w14:paraId="49D6BF2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40.1</w:t>
            </w:r>
          </w:p>
        </w:tc>
        <w:tc>
          <w:tcPr>
            <w:tcW w:w="675" w:type="dxa"/>
            <w:shd w:val="clear" w:color="auto" w:fill="auto"/>
            <w:noWrap/>
            <w:vAlign w:val="center"/>
          </w:tcPr>
          <w:p w14:paraId="4E711BD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60</w:t>
            </w:r>
          </w:p>
        </w:tc>
        <w:tc>
          <w:tcPr>
            <w:tcW w:w="1485" w:type="dxa"/>
            <w:shd w:val="clear" w:color="auto" w:fill="auto"/>
            <w:noWrap/>
            <w:vAlign w:val="center"/>
          </w:tcPr>
          <w:p w14:paraId="644679B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49.9</w:t>
            </w:r>
          </w:p>
        </w:tc>
        <w:tc>
          <w:tcPr>
            <w:tcW w:w="706" w:type="dxa"/>
            <w:shd w:val="clear" w:color="auto" w:fill="auto"/>
            <w:noWrap/>
            <w:vAlign w:val="center"/>
          </w:tcPr>
          <w:p w14:paraId="7EB88DE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101</w:t>
            </w:r>
          </w:p>
        </w:tc>
        <w:tc>
          <w:tcPr>
            <w:tcW w:w="1454" w:type="dxa"/>
            <w:shd w:val="clear" w:color="auto" w:fill="auto"/>
            <w:noWrap/>
            <w:vAlign w:val="center"/>
          </w:tcPr>
          <w:p w14:paraId="09283BF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51.0</w:t>
            </w:r>
          </w:p>
        </w:tc>
        <w:tc>
          <w:tcPr>
            <w:tcW w:w="733" w:type="dxa"/>
            <w:shd w:val="clear" w:color="auto" w:fill="auto"/>
            <w:noWrap/>
            <w:vAlign w:val="center"/>
          </w:tcPr>
          <w:p w14:paraId="67907DC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141</w:t>
            </w:r>
          </w:p>
        </w:tc>
        <w:tc>
          <w:tcPr>
            <w:tcW w:w="1427" w:type="dxa"/>
            <w:shd w:val="clear" w:color="auto" w:fill="auto"/>
            <w:noWrap/>
            <w:vAlign w:val="center"/>
          </w:tcPr>
          <w:p w14:paraId="2D35B3A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41.0</w:t>
            </w:r>
          </w:p>
        </w:tc>
      </w:tr>
      <w:tr w14:paraId="3F3AF08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456B1AD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20</w:t>
            </w:r>
          </w:p>
        </w:tc>
        <w:tc>
          <w:tcPr>
            <w:tcW w:w="1447" w:type="dxa"/>
            <w:shd w:val="clear" w:color="auto" w:fill="auto"/>
            <w:noWrap/>
            <w:vAlign w:val="center"/>
          </w:tcPr>
          <w:p w14:paraId="38F09D7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49.4</w:t>
            </w:r>
          </w:p>
        </w:tc>
        <w:tc>
          <w:tcPr>
            <w:tcW w:w="675" w:type="dxa"/>
            <w:shd w:val="clear" w:color="auto" w:fill="auto"/>
            <w:noWrap/>
            <w:vAlign w:val="center"/>
          </w:tcPr>
          <w:p w14:paraId="01D5C8C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61</w:t>
            </w:r>
          </w:p>
        </w:tc>
        <w:tc>
          <w:tcPr>
            <w:tcW w:w="1485" w:type="dxa"/>
            <w:shd w:val="clear" w:color="auto" w:fill="auto"/>
            <w:noWrap/>
            <w:vAlign w:val="center"/>
          </w:tcPr>
          <w:p w14:paraId="01845F6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56.8</w:t>
            </w:r>
          </w:p>
        </w:tc>
        <w:tc>
          <w:tcPr>
            <w:tcW w:w="706" w:type="dxa"/>
            <w:shd w:val="clear" w:color="auto" w:fill="auto"/>
            <w:noWrap/>
            <w:vAlign w:val="center"/>
          </w:tcPr>
          <w:p w14:paraId="4E4B9AA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102</w:t>
            </w:r>
          </w:p>
        </w:tc>
        <w:tc>
          <w:tcPr>
            <w:tcW w:w="1454" w:type="dxa"/>
            <w:shd w:val="clear" w:color="auto" w:fill="auto"/>
            <w:noWrap/>
            <w:vAlign w:val="center"/>
          </w:tcPr>
          <w:p w14:paraId="4577D82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68.4</w:t>
            </w:r>
          </w:p>
        </w:tc>
        <w:tc>
          <w:tcPr>
            <w:tcW w:w="733" w:type="dxa"/>
            <w:shd w:val="clear" w:color="auto" w:fill="auto"/>
            <w:noWrap/>
            <w:vAlign w:val="center"/>
          </w:tcPr>
          <w:p w14:paraId="21ACAD8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142</w:t>
            </w:r>
          </w:p>
        </w:tc>
        <w:tc>
          <w:tcPr>
            <w:tcW w:w="1427" w:type="dxa"/>
            <w:shd w:val="clear" w:color="auto" w:fill="auto"/>
            <w:noWrap/>
            <w:vAlign w:val="center"/>
          </w:tcPr>
          <w:p w14:paraId="78891D6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49.4</w:t>
            </w:r>
          </w:p>
        </w:tc>
      </w:tr>
      <w:tr w14:paraId="06322373">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532B717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21</w:t>
            </w:r>
          </w:p>
        </w:tc>
        <w:tc>
          <w:tcPr>
            <w:tcW w:w="1447" w:type="dxa"/>
            <w:shd w:val="clear" w:color="auto" w:fill="auto"/>
            <w:noWrap/>
            <w:vAlign w:val="center"/>
          </w:tcPr>
          <w:p w14:paraId="44ADDCE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44.0</w:t>
            </w:r>
          </w:p>
        </w:tc>
        <w:tc>
          <w:tcPr>
            <w:tcW w:w="675" w:type="dxa"/>
            <w:shd w:val="clear" w:color="auto" w:fill="auto"/>
            <w:noWrap/>
            <w:vAlign w:val="center"/>
          </w:tcPr>
          <w:p w14:paraId="5D00FDA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62</w:t>
            </w:r>
          </w:p>
        </w:tc>
        <w:tc>
          <w:tcPr>
            <w:tcW w:w="1485" w:type="dxa"/>
            <w:shd w:val="clear" w:color="auto" w:fill="auto"/>
            <w:noWrap/>
            <w:vAlign w:val="center"/>
          </w:tcPr>
          <w:p w14:paraId="0A10118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42.7</w:t>
            </w:r>
          </w:p>
        </w:tc>
        <w:tc>
          <w:tcPr>
            <w:tcW w:w="706" w:type="dxa"/>
            <w:shd w:val="clear" w:color="auto" w:fill="auto"/>
            <w:noWrap/>
            <w:vAlign w:val="center"/>
          </w:tcPr>
          <w:p w14:paraId="257CB59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103</w:t>
            </w:r>
          </w:p>
        </w:tc>
        <w:tc>
          <w:tcPr>
            <w:tcW w:w="1454" w:type="dxa"/>
            <w:shd w:val="clear" w:color="auto" w:fill="auto"/>
            <w:noWrap/>
            <w:vAlign w:val="center"/>
          </w:tcPr>
          <w:p w14:paraId="3C503ED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55.1</w:t>
            </w:r>
          </w:p>
        </w:tc>
        <w:tc>
          <w:tcPr>
            <w:tcW w:w="733" w:type="dxa"/>
            <w:shd w:val="clear" w:color="auto" w:fill="auto"/>
            <w:noWrap/>
            <w:vAlign w:val="center"/>
          </w:tcPr>
          <w:p w14:paraId="6D88CDF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143</w:t>
            </w:r>
          </w:p>
        </w:tc>
        <w:tc>
          <w:tcPr>
            <w:tcW w:w="1427" w:type="dxa"/>
            <w:shd w:val="clear" w:color="auto" w:fill="auto"/>
            <w:noWrap/>
            <w:vAlign w:val="center"/>
          </w:tcPr>
          <w:p w14:paraId="3453997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50.4</w:t>
            </w:r>
          </w:p>
        </w:tc>
      </w:tr>
      <w:tr w14:paraId="128E8A30">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4C86AA6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22</w:t>
            </w:r>
          </w:p>
        </w:tc>
        <w:tc>
          <w:tcPr>
            <w:tcW w:w="1447" w:type="dxa"/>
            <w:shd w:val="clear" w:color="auto" w:fill="auto"/>
            <w:noWrap/>
            <w:vAlign w:val="center"/>
          </w:tcPr>
          <w:p w14:paraId="6542F62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56.5</w:t>
            </w:r>
          </w:p>
        </w:tc>
        <w:tc>
          <w:tcPr>
            <w:tcW w:w="675" w:type="dxa"/>
            <w:shd w:val="clear" w:color="auto" w:fill="auto"/>
            <w:noWrap/>
            <w:vAlign w:val="center"/>
          </w:tcPr>
          <w:p w14:paraId="54EAD2E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63</w:t>
            </w:r>
          </w:p>
        </w:tc>
        <w:tc>
          <w:tcPr>
            <w:tcW w:w="1485" w:type="dxa"/>
            <w:shd w:val="clear" w:color="auto" w:fill="auto"/>
            <w:noWrap/>
            <w:vAlign w:val="center"/>
          </w:tcPr>
          <w:p w14:paraId="4FA97E0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41.1</w:t>
            </w:r>
          </w:p>
        </w:tc>
        <w:tc>
          <w:tcPr>
            <w:tcW w:w="706" w:type="dxa"/>
            <w:shd w:val="clear" w:color="auto" w:fill="auto"/>
            <w:noWrap/>
            <w:vAlign w:val="center"/>
          </w:tcPr>
          <w:p w14:paraId="3454760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104</w:t>
            </w:r>
          </w:p>
        </w:tc>
        <w:tc>
          <w:tcPr>
            <w:tcW w:w="1454" w:type="dxa"/>
            <w:shd w:val="clear" w:color="auto" w:fill="auto"/>
            <w:noWrap/>
            <w:vAlign w:val="center"/>
          </w:tcPr>
          <w:p w14:paraId="2741FB0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51.0</w:t>
            </w:r>
          </w:p>
        </w:tc>
        <w:tc>
          <w:tcPr>
            <w:tcW w:w="733" w:type="dxa"/>
            <w:shd w:val="clear" w:color="auto" w:fill="auto"/>
            <w:noWrap/>
            <w:vAlign w:val="center"/>
          </w:tcPr>
          <w:p w14:paraId="29485D1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144</w:t>
            </w:r>
          </w:p>
        </w:tc>
        <w:tc>
          <w:tcPr>
            <w:tcW w:w="1427" w:type="dxa"/>
            <w:shd w:val="clear" w:color="auto" w:fill="auto"/>
            <w:noWrap/>
            <w:vAlign w:val="center"/>
          </w:tcPr>
          <w:p w14:paraId="5828068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48.2</w:t>
            </w:r>
          </w:p>
        </w:tc>
      </w:tr>
      <w:tr w14:paraId="0206A03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0158089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23</w:t>
            </w:r>
          </w:p>
        </w:tc>
        <w:tc>
          <w:tcPr>
            <w:tcW w:w="1447" w:type="dxa"/>
            <w:shd w:val="clear" w:color="auto" w:fill="auto"/>
            <w:noWrap/>
            <w:vAlign w:val="center"/>
          </w:tcPr>
          <w:p w14:paraId="294D4DD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50.0</w:t>
            </w:r>
          </w:p>
        </w:tc>
        <w:tc>
          <w:tcPr>
            <w:tcW w:w="675" w:type="dxa"/>
            <w:shd w:val="clear" w:color="auto" w:fill="auto"/>
            <w:noWrap/>
            <w:vAlign w:val="center"/>
          </w:tcPr>
          <w:p w14:paraId="15AFD63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64</w:t>
            </w:r>
          </w:p>
        </w:tc>
        <w:tc>
          <w:tcPr>
            <w:tcW w:w="1485" w:type="dxa"/>
            <w:shd w:val="clear" w:color="auto" w:fill="auto"/>
            <w:noWrap/>
            <w:vAlign w:val="center"/>
          </w:tcPr>
          <w:p w14:paraId="15B91E2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57.9</w:t>
            </w:r>
          </w:p>
        </w:tc>
        <w:tc>
          <w:tcPr>
            <w:tcW w:w="706" w:type="dxa"/>
            <w:shd w:val="clear" w:color="auto" w:fill="auto"/>
            <w:noWrap/>
            <w:vAlign w:val="center"/>
          </w:tcPr>
          <w:p w14:paraId="79C5D80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105</w:t>
            </w:r>
          </w:p>
        </w:tc>
        <w:tc>
          <w:tcPr>
            <w:tcW w:w="1454" w:type="dxa"/>
            <w:shd w:val="clear" w:color="auto" w:fill="auto"/>
            <w:noWrap/>
            <w:vAlign w:val="center"/>
          </w:tcPr>
          <w:p w14:paraId="35FC71C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52.0</w:t>
            </w:r>
          </w:p>
        </w:tc>
        <w:tc>
          <w:tcPr>
            <w:tcW w:w="733" w:type="dxa"/>
            <w:shd w:val="clear" w:color="auto" w:fill="auto"/>
            <w:noWrap/>
            <w:vAlign w:val="center"/>
          </w:tcPr>
          <w:p w14:paraId="30A66FA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145</w:t>
            </w:r>
          </w:p>
        </w:tc>
        <w:tc>
          <w:tcPr>
            <w:tcW w:w="1427" w:type="dxa"/>
            <w:shd w:val="clear" w:color="auto" w:fill="auto"/>
            <w:noWrap/>
            <w:vAlign w:val="center"/>
          </w:tcPr>
          <w:p w14:paraId="7C1663F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43.8</w:t>
            </w:r>
          </w:p>
        </w:tc>
      </w:tr>
      <w:tr w14:paraId="34457688">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533D974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24</w:t>
            </w:r>
          </w:p>
        </w:tc>
        <w:tc>
          <w:tcPr>
            <w:tcW w:w="1447" w:type="dxa"/>
            <w:shd w:val="clear" w:color="auto" w:fill="auto"/>
            <w:noWrap/>
            <w:vAlign w:val="center"/>
          </w:tcPr>
          <w:p w14:paraId="7CE1603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61.4</w:t>
            </w:r>
          </w:p>
        </w:tc>
        <w:tc>
          <w:tcPr>
            <w:tcW w:w="675" w:type="dxa"/>
            <w:shd w:val="clear" w:color="auto" w:fill="auto"/>
            <w:noWrap/>
            <w:vAlign w:val="center"/>
          </w:tcPr>
          <w:p w14:paraId="6D347A7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65</w:t>
            </w:r>
          </w:p>
        </w:tc>
        <w:tc>
          <w:tcPr>
            <w:tcW w:w="1485" w:type="dxa"/>
            <w:shd w:val="clear" w:color="auto" w:fill="auto"/>
            <w:noWrap/>
            <w:vAlign w:val="center"/>
          </w:tcPr>
          <w:p w14:paraId="114AFD7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51.8</w:t>
            </w:r>
          </w:p>
        </w:tc>
        <w:tc>
          <w:tcPr>
            <w:tcW w:w="706" w:type="dxa"/>
            <w:shd w:val="clear" w:color="auto" w:fill="auto"/>
            <w:noWrap/>
            <w:vAlign w:val="center"/>
          </w:tcPr>
          <w:p w14:paraId="04EAE77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106</w:t>
            </w:r>
          </w:p>
        </w:tc>
        <w:tc>
          <w:tcPr>
            <w:tcW w:w="1454" w:type="dxa"/>
            <w:shd w:val="clear" w:color="auto" w:fill="auto"/>
            <w:noWrap/>
            <w:vAlign w:val="center"/>
          </w:tcPr>
          <w:p w14:paraId="42BFB32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51.0</w:t>
            </w:r>
          </w:p>
        </w:tc>
        <w:tc>
          <w:tcPr>
            <w:tcW w:w="733" w:type="dxa"/>
            <w:shd w:val="clear" w:color="auto" w:fill="auto"/>
            <w:noWrap/>
            <w:vAlign w:val="center"/>
          </w:tcPr>
          <w:p w14:paraId="4F47B11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146</w:t>
            </w:r>
          </w:p>
        </w:tc>
        <w:tc>
          <w:tcPr>
            <w:tcW w:w="1427" w:type="dxa"/>
            <w:shd w:val="clear" w:color="auto" w:fill="auto"/>
            <w:noWrap/>
            <w:vAlign w:val="center"/>
          </w:tcPr>
          <w:p w14:paraId="0C625AE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42.6</w:t>
            </w:r>
          </w:p>
        </w:tc>
      </w:tr>
      <w:tr w14:paraId="0C89C11D">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67E0FE7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25</w:t>
            </w:r>
          </w:p>
        </w:tc>
        <w:tc>
          <w:tcPr>
            <w:tcW w:w="1447" w:type="dxa"/>
            <w:shd w:val="clear" w:color="auto" w:fill="auto"/>
            <w:noWrap/>
            <w:vAlign w:val="center"/>
          </w:tcPr>
          <w:p w14:paraId="3D9025B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58.8</w:t>
            </w:r>
          </w:p>
        </w:tc>
        <w:tc>
          <w:tcPr>
            <w:tcW w:w="675" w:type="dxa"/>
            <w:shd w:val="clear" w:color="auto" w:fill="auto"/>
            <w:noWrap/>
            <w:vAlign w:val="center"/>
          </w:tcPr>
          <w:p w14:paraId="5E04375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66</w:t>
            </w:r>
          </w:p>
        </w:tc>
        <w:tc>
          <w:tcPr>
            <w:tcW w:w="1485" w:type="dxa"/>
            <w:shd w:val="clear" w:color="auto" w:fill="auto"/>
            <w:noWrap/>
            <w:vAlign w:val="center"/>
          </w:tcPr>
          <w:p w14:paraId="62CD197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45.8</w:t>
            </w:r>
          </w:p>
        </w:tc>
        <w:tc>
          <w:tcPr>
            <w:tcW w:w="706" w:type="dxa"/>
            <w:shd w:val="clear" w:color="auto" w:fill="auto"/>
            <w:noWrap/>
            <w:vAlign w:val="center"/>
          </w:tcPr>
          <w:p w14:paraId="7155ED6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107</w:t>
            </w:r>
          </w:p>
        </w:tc>
        <w:tc>
          <w:tcPr>
            <w:tcW w:w="1454" w:type="dxa"/>
            <w:shd w:val="clear" w:color="auto" w:fill="auto"/>
            <w:noWrap/>
            <w:vAlign w:val="center"/>
          </w:tcPr>
          <w:p w14:paraId="08814AB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59.0</w:t>
            </w:r>
          </w:p>
        </w:tc>
        <w:tc>
          <w:tcPr>
            <w:tcW w:w="733" w:type="dxa"/>
            <w:shd w:val="clear" w:color="auto" w:fill="auto"/>
            <w:noWrap/>
            <w:vAlign w:val="center"/>
          </w:tcPr>
          <w:p w14:paraId="631CB85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147</w:t>
            </w:r>
          </w:p>
        </w:tc>
        <w:tc>
          <w:tcPr>
            <w:tcW w:w="1427" w:type="dxa"/>
            <w:shd w:val="clear" w:color="auto" w:fill="auto"/>
            <w:noWrap/>
            <w:vAlign w:val="center"/>
          </w:tcPr>
          <w:p w14:paraId="5FD86AE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60.4</w:t>
            </w:r>
          </w:p>
        </w:tc>
      </w:tr>
      <w:tr w14:paraId="16F9194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1BC23AE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26</w:t>
            </w:r>
          </w:p>
        </w:tc>
        <w:tc>
          <w:tcPr>
            <w:tcW w:w="1447" w:type="dxa"/>
            <w:shd w:val="clear" w:color="auto" w:fill="auto"/>
            <w:noWrap/>
            <w:vAlign w:val="center"/>
          </w:tcPr>
          <w:p w14:paraId="055B2AD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40.8</w:t>
            </w:r>
          </w:p>
        </w:tc>
        <w:tc>
          <w:tcPr>
            <w:tcW w:w="675" w:type="dxa"/>
            <w:shd w:val="clear" w:color="auto" w:fill="auto"/>
            <w:noWrap/>
            <w:vAlign w:val="center"/>
          </w:tcPr>
          <w:p w14:paraId="1587D31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67</w:t>
            </w:r>
          </w:p>
        </w:tc>
        <w:tc>
          <w:tcPr>
            <w:tcW w:w="1485" w:type="dxa"/>
            <w:shd w:val="clear" w:color="auto" w:fill="auto"/>
            <w:noWrap/>
            <w:vAlign w:val="center"/>
          </w:tcPr>
          <w:p w14:paraId="16BA411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50.0</w:t>
            </w:r>
          </w:p>
        </w:tc>
        <w:tc>
          <w:tcPr>
            <w:tcW w:w="706" w:type="dxa"/>
            <w:shd w:val="clear" w:color="auto" w:fill="auto"/>
            <w:noWrap/>
            <w:vAlign w:val="center"/>
          </w:tcPr>
          <w:p w14:paraId="0261105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108</w:t>
            </w:r>
          </w:p>
        </w:tc>
        <w:tc>
          <w:tcPr>
            <w:tcW w:w="1454" w:type="dxa"/>
            <w:shd w:val="clear" w:color="auto" w:fill="auto"/>
            <w:noWrap/>
            <w:vAlign w:val="center"/>
          </w:tcPr>
          <w:p w14:paraId="60BC976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41.2</w:t>
            </w:r>
          </w:p>
        </w:tc>
        <w:tc>
          <w:tcPr>
            <w:tcW w:w="733" w:type="dxa"/>
            <w:shd w:val="clear" w:color="auto" w:fill="auto"/>
            <w:noWrap/>
            <w:vAlign w:val="center"/>
          </w:tcPr>
          <w:p w14:paraId="3E09DE7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148</w:t>
            </w:r>
          </w:p>
        </w:tc>
        <w:tc>
          <w:tcPr>
            <w:tcW w:w="1427" w:type="dxa"/>
            <w:shd w:val="clear" w:color="auto" w:fill="auto"/>
            <w:noWrap/>
            <w:vAlign w:val="center"/>
          </w:tcPr>
          <w:p w14:paraId="1BA7FF4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57.6</w:t>
            </w:r>
          </w:p>
        </w:tc>
      </w:tr>
      <w:tr w14:paraId="0489ED58">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6D4C053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27</w:t>
            </w:r>
          </w:p>
        </w:tc>
        <w:tc>
          <w:tcPr>
            <w:tcW w:w="1447" w:type="dxa"/>
            <w:shd w:val="clear" w:color="auto" w:fill="auto"/>
            <w:noWrap/>
            <w:vAlign w:val="center"/>
          </w:tcPr>
          <w:p w14:paraId="18703CC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47.9</w:t>
            </w:r>
          </w:p>
        </w:tc>
        <w:tc>
          <w:tcPr>
            <w:tcW w:w="675" w:type="dxa"/>
            <w:shd w:val="clear" w:color="auto" w:fill="auto"/>
            <w:noWrap/>
            <w:vAlign w:val="center"/>
          </w:tcPr>
          <w:p w14:paraId="24D8BAF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68</w:t>
            </w:r>
          </w:p>
        </w:tc>
        <w:tc>
          <w:tcPr>
            <w:tcW w:w="1485" w:type="dxa"/>
            <w:shd w:val="clear" w:color="auto" w:fill="auto"/>
            <w:noWrap/>
            <w:vAlign w:val="center"/>
          </w:tcPr>
          <w:p w14:paraId="29898EA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51.0</w:t>
            </w:r>
          </w:p>
        </w:tc>
        <w:tc>
          <w:tcPr>
            <w:tcW w:w="706" w:type="dxa"/>
            <w:shd w:val="clear" w:color="auto" w:fill="auto"/>
            <w:noWrap/>
            <w:vAlign w:val="center"/>
          </w:tcPr>
          <w:p w14:paraId="1D32F00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109</w:t>
            </w:r>
          </w:p>
        </w:tc>
        <w:tc>
          <w:tcPr>
            <w:tcW w:w="1454" w:type="dxa"/>
            <w:shd w:val="clear" w:color="auto" w:fill="auto"/>
            <w:noWrap/>
            <w:vAlign w:val="center"/>
          </w:tcPr>
          <w:p w14:paraId="462F992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49.0</w:t>
            </w:r>
          </w:p>
        </w:tc>
        <w:tc>
          <w:tcPr>
            <w:tcW w:w="733" w:type="dxa"/>
            <w:shd w:val="clear" w:color="auto" w:fill="auto"/>
            <w:noWrap/>
            <w:vAlign w:val="center"/>
          </w:tcPr>
          <w:p w14:paraId="2B127D9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149</w:t>
            </w:r>
          </w:p>
        </w:tc>
        <w:tc>
          <w:tcPr>
            <w:tcW w:w="1427" w:type="dxa"/>
            <w:shd w:val="clear" w:color="auto" w:fill="auto"/>
            <w:noWrap/>
            <w:vAlign w:val="center"/>
          </w:tcPr>
          <w:p w14:paraId="7F69450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57.2</w:t>
            </w:r>
          </w:p>
        </w:tc>
      </w:tr>
      <w:tr w14:paraId="20642D9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3A630DA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28</w:t>
            </w:r>
          </w:p>
        </w:tc>
        <w:tc>
          <w:tcPr>
            <w:tcW w:w="1447" w:type="dxa"/>
            <w:shd w:val="clear" w:color="auto" w:fill="auto"/>
            <w:noWrap/>
            <w:vAlign w:val="center"/>
          </w:tcPr>
          <w:p w14:paraId="0510955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55.3</w:t>
            </w:r>
          </w:p>
        </w:tc>
        <w:tc>
          <w:tcPr>
            <w:tcW w:w="675" w:type="dxa"/>
            <w:shd w:val="clear" w:color="auto" w:fill="auto"/>
            <w:noWrap/>
            <w:vAlign w:val="center"/>
          </w:tcPr>
          <w:p w14:paraId="683E0F3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69</w:t>
            </w:r>
          </w:p>
        </w:tc>
        <w:tc>
          <w:tcPr>
            <w:tcW w:w="1485" w:type="dxa"/>
            <w:shd w:val="clear" w:color="auto" w:fill="auto"/>
            <w:noWrap/>
            <w:vAlign w:val="center"/>
          </w:tcPr>
          <w:p w14:paraId="2FDB487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53.5</w:t>
            </w:r>
          </w:p>
        </w:tc>
        <w:tc>
          <w:tcPr>
            <w:tcW w:w="706" w:type="dxa"/>
            <w:shd w:val="clear" w:color="auto" w:fill="auto"/>
            <w:noWrap/>
            <w:vAlign w:val="center"/>
          </w:tcPr>
          <w:p w14:paraId="0A77C4A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110</w:t>
            </w:r>
          </w:p>
        </w:tc>
        <w:tc>
          <w:tcPr>
            <w:tcW w:w="1454" w:type="dxa"/>
            <w:shd w:val="clear" w:color="auto" w:fill="auto"/>
            <w:noWrap/>
            <w:vAlign w:val="center"/>
          </w:tcPr>
          <w:p w14:paraId="2FBF7F0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59.0</w:t>
            </w:r>
          </w:p>
        </w:tc>
        <w:tc>
          <w:tcPr>
            <w:tcW w:w="733" w:type="dxa"/>
            <w:shd w:val="clear" w:color="auto" w:fill="auto"/>
            <w:noWrap/>
            <w:vAlign w:val="center"/>
          </w:tcPr>
          <w:p w14:paraId="6078F2E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150</w:t>
            </w:r>
          </w:p>
        </w:tc>
        <w:tc>
          <w:tcPr>
            <w:tcW w:w="1427" w:type="dxa"/>
            <w:shd w:val="clear" w:color="auto" w:fill="auto"/>
            <w:noWrap/>
            <w:vAlign w:val="center"/>
          </w:tcPr>
          <w:p w14:paraId="1B0B6D1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50.0</w:t>
            </w:r>
          </w:p>
        </w:tc>
      </w:tr>
      <w:tr w14:paraId="2133E0B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3E36FDA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29</w:t>
            </w:r>
          </w:p>
        </w:tc>
        <w:tc>
          <w:tcPr>
            <w:tcW w:w="1447" w:type="dxa"/>
            <w:shd w:val="clear" w:color="auto" w:fill="auto"/>
            <w:noWrap/>
            <w:vAlign w:val="center"/>
          </w:tcPr>
          <w:p w14:paraId="5EAF030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46.7</w:t>
            </w:r>
          </w:p>
        </w:tc>
        <w:tc>
          <w:tcPr>
            <w:tcW w:w="675" w:type="dxa"/>
            <w:shd w:val="clear" w:color="auto" w:fill="auto"/>
            <w:noWrap/>
            <w:vAlign w:val="center"/>
          </w:tcPr>
          <w:p w14:paraId="7B1334C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70</w:t>
            </w:r>
          </w:p>
        </w:tc>
        <w:tc>
          <w:tcPr>
            <w:tcW w:w="1485" w:type="dxa"/>
            <w:shd w:val="clear" w:color="auto" w:fill="auto"/>
            <w:noWrap/>
            <w:vAlign w:val="center"/>
          </w:tcPr>
          <w:p w14:paraId="2ADD647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47.8</w:t>
            </w:r>
          </w:p>
        </w:tc>
        <w:tc>
          <w:tcPr>
            <w:tcW w:w="706" w:type="dxa"/>
            <w:shd w:val="clear" w:color="auto" w:fill="auto"/>
            <w:noWrap/>
            <w:vAlign w:val="center"/>
          </w:tcPr>
          <w:p w14:paraId="0A648B9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111</w:t>
            </w:r>
          </w:p>
        </w:tc>
        <w:tc>
          <w:tcPr>
            <w:tcW w:w="1454" w:type="dxa"/>
            <w:shd w:val="clear" w:color="auto" w:fill="auto"/>
            <w:noWrap/>
            <w:vAlign w:val="center"/>
          </w:tcPr>
          <w:p w14:paraId="4E4BEF9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54.3</w:t>
            </w:r>
          </w:p>
        </w:tc>
        <w:tc>
          <w:tcPr>
            <w:tcW w:w="733" w:type="dxa"/>
            <w:shd w:val="clear" w:color="auto" w:fill="auto"/>
            <w:noWrap/>
            <w:vAlign w:val="center"/>
          </w:tcPr>
          <w:p w14:paraId="5232E4C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151</w:t>
            </w:r>
          </w:p>
        </w:tc>
        <w:tc>
          <w:tcPr>
            <w:tcW w:w="1427" w:type="dxa"/>
            <w:shd w:val="clear" w:color="auto" w:fill="auto"/>
            <w:noWrap/>
            <w:vAlign w:val="center"/>
          </w:tcPr>
          <w:p w14:paraId="05802C6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61.8</w:t>
            </w:r>
          </w:p>
        </w:tc>
      </w:tr>
      <w:tr w14:paraId="10DF6FF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5E40343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30</w:t>
            </w:r>
          </w:p>
        </w:tc>
        <w:tc>
          <w:tcPr>
            <w:tcW w:w="1447" w:type="dxa"/>
            <w:shd w:val="clear" w:color="auto" w:fill="auto"/>
            <w:noWrap/>
            <w:vAlign w:val="center"/>
          </w:tcPr>
          <w:p w14:paraId="601F8E6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39.0</w:t>
            </w:r>
          </w:p>
        </w:tc>
        <w:tc>
          <w:tcPr>
            <w:tcW w:w="675" w:type="dxa"/>
            <w:shd w:val="clear" w:color="auto" w:fill="auto"/>
            <w:noWrap/>
            <w:vAlign w:val="center"/>
          </w:tcPr>
          <w:p w14:paraId="35A7B5C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71</w:t>
            </w:r>
          </w:p>
        </w:tc>
        <w:tc>
          <w:tcPr>
            <w:tcW w:w="1485" w:type="dxa"/>
            <w:shd w:val="clear" w:color="auto" w:fill="auto"/>
            <w:noWrap/>
            <w:vAlign w:val="center"/>
          </w:tcPr>
          <w:p w14:paraId="7DF5666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41.8</w:t>
            </w:r>
          </w:p>
        </w:tc>
        <w:tc>
          <w:tcPr>
            <w:tcW w:w="706" w:type="dxa"/>
            <w:shd w:val="clear" w:color="auto" w:fill="auto"/>
            <w:noWrap/>
            <w:vAlign w:val="center"/>
          </w:tcPr>
          <w:p w14:paraId="4A65CEA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112</w:t>
            </w:r>
          </w:p>
        </w:tc>
        <w:tc>
          <w:tcPr>
            <w:tcW w:w="1454" w:type="dxa"/>
            <w:shd w:val="clear" w:color="auto" w:fill="auto"/>
            <w:noWrap/>
            <w:vAlign w:val="center"/>
          </w:tcPr>
          <w:p w14:paraId="3EB61C6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60.8</w:t>
            </w:r>
          </w:p>
        </w:tc>
        <w:tc>
          <w:tcPr>
            <w:tcW w:w="733" w:type="dxa"/>
            <w:shd w:val="clear" w:color="auto" w:fill="auto"/>
            <w:noWrap/>
            <w:vAlign w:val="center"/>
          </w:tcPr>
          <w:p w14:paraId="6B6CBB0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152</w:t>
            </w:r>
          </w:p>
        </w:tc>
        <w:tc>
          <w:tcPr>
            <w:tcW w:w="1427" w:type="dxa"/>
            <w:shd w:val="clear" w:color="auto" w:fill="auto"/>
            <w:noWrap/>
            <w:vAlign w:val="center"/>
          </w:tcPr>
          <w:p w14:paraId="454F5E3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61.6</w:t>
            </w:r>
          </w:p>
        </w:tc>
      </w:tr>
      <w:tr w14:paraId="1473F90A">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66D7A28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31</w:t>
            </w:r>
          </w:p>
        </w:tc>
        <w:tc>
          <w:tcPr>
            <w:tcW w:w="1447" w:type="dxa"/>
            <w:shd w:val="clear" w:color="auto" w:fill="auto"/>
            <w:noWrap/>
            <w:vAlign w:val="center"/>
          </w:tcPr>
          <w:p w14:paraId="79833E0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51.8</w:t>
            </w:r>
          </w:p>
        </w:tc>
        <w:tc>
          <w:tcPr>
            <w:tcW w:w="675" w:type="dxa"/>
            <w:shd w:val="clear" w:color="auto" w:fill="auto"/>
            <w:noWrap/>
            <w:vAlign w:val="center"/>
          </w:tcPr>
          <w:p w14:paraId="3AEE9D3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72</w:t>
            </w:r>
          </w:p>
        </w:tc>
        <w:tc>
          <w:tcPr>
            <w:tcW w:w="1485" w:type="dxa"/>
            <w:shd w:val="clear" w:color="auto" w:fill="auto"/>
            <w:noWrap/>
            <w:vAlign w:val="center"/>
          </w:tcPr>
          <w:p w14:paraId="6F11C30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64.0</w:t>
            </w:r>
          </w:p>
        </w:tc>
        <w:tc>
          <w:tcPr>
            <w:tcW w:w="706" w:type="dxa"/>
            <w:shd w:val="clear" w:color="auto" w:fill="auto"/>
            <w:noWrap/>
            <w:vAlign w:val="center"/>
          </w:tcPr>
          <w:p w14:paraId="17730BE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113</w:t>
            </w:r>
          </w:p>
        </w:tc>
        <w:tc>
          <w:tcPr>
            <w:tcW w:w="1454" w:type="dxa"/>
            <w:shd w:val="clear" w:color="auto" w:fill="auto"/>
            <w:noWrap/>
            <w:vAlign w:val="center"/>
          </w:tcPr>
          <w:p w14:paraId="339B7CC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55.0</w:t>
            </w:r>
          </w:p>
        </w:tc>
        <w:tc>
          <w:tcPr>
            <w:tcW w:w="733" w:type="dxa"/>
            <w:shd w:val="clear" w:color="auto" w:fill="auto"/>
            <w:noWrap/>
            <w:vAlign w:val="center"/>
          </w:tcPr>
          <w:p w14:paraId="6F0F719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153</w:t>
            </w:r>
          </w:p>
        </w:tc>
        <w:tc>
          <w:tcPr>
            <w:tcW w:w="1427" w:type="dxa"/>
            <w:shd w:val="clear" w:color="auto" w:fill="auto"/>
            <w:noWrap/>
            <w:vAlign w:val="center"/>
          </w:tcPr>
          <w:p w14:paraId="3E8521F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49.2</w:t>
            </w:r>
          </w:p>
        </w:tc>
      </w:tr>
      <w:tr w14:paraId="41727EA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4025A9F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32</w:t>
            </w:r>
          </w:p>
        </w:tc>
        <w:tc>
          <w:tcPr>
            <w:tcW w:w="1447" w:type="dxa"/>
            <w:shd w:val="clear" w:color="auto" w:fill="auto"/>
            <w:noWrap/>
            <w:vAlign w:val="center"/>
          </w:tcPr>
          <w:p w14:paraId="7FF6E89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61.2</w:t>
            </w:r>
          </w:p>
        </w:tc>
        <w:tc>
          <w:tcPr>
            <w:tcW w:w="675" w:type="dxa"/>
            <w:shd w:val="clear" w:color="auto" w:fill="auto"/>
            <w:noWrap/>
            <w:vAlign w:val="center"/>
          </w:tcPr>
          <w:p w14:paraId="3E468E2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73</w:t>
            </w:r>
          </w:p>
        </w:tc>
        <w:tc>
          <w:tcPr>
            <w:tcW w:w="1485" w:type="dxa"/>
            <w:shd w:val="clear" w:color="auto" w:fill="auto"/>
            <w:noWrap/>
            <w:vAlign w:val="center"/>
          </w:tcPr>
          <w:p w14:paraId="33C7395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51.0</w:t>
            </w:r>
          </w:p>
        </w:tc>
        <w:tc>
          <w:tcPr>
            <w:tcW w:w="706" w:type="dxa"/>
            <w:shd w:val="clear" w:color="auto" w:fill="auto"/>
            <w:noWrap/>
            <w:vAlign w:val="center"/>
          </w:tcPr>
          <w:p w14:paraId="7CF0998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114</w:t>
            </w:r>
          </w:p>
        </w:tc>
        <w:tc>
          <w:tcPr>
            <w:tcW w:w="1454" w:type="dxa"/>
            <w:shd w:val="clear" w:color="auto" w:fill="auto"/>
            <w:noWrap/>
            <w:vAlign w:val="center"/>
          </w:tcPr>
          <w:p w14:paraId="353E835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47.8</w:t>
            </w:r>
          </w:p>
        </w:tc>
        <w:tc>
          <w:tcPr>
            <w:tcW w:w="733" w:type="dxa"/>
            <w:shd w:val="clear" w:color="auto" w:fill="auto"/>
            <w:noWrap/>
            <w:vAlign w:val="center"/>
          </w:tcPr>
          <w:p w14:paraId="3A42975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154</w:t>
            </w:r>
          </w:p>
        </w:tc>
        <w:tc>
          <w:tcPr>
            <w:tcW w:w="1427" w:type="dxa"/>
            <w:shd w:val="clear" w:color="auto" w:fill="auto"/>
            <w:noWrap/>
            <w:vAlign w:val="center"/>
          </w:tcPr>
          <w:p w14:paraId="27B40D6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59.2</w:t>
            </w:r>
          </w:p>
        </w:tc>
      </w:tr>
      <w:tr w14:paraId="77DDAC7C">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6072D2B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33</w:t>
            </w:r>
          </w:p>
        </w:tc>
        <w:tc>
          <w:tcPr>
            <w:tcW w:w="1447" w:type="dxa"/>
            <w:shd w:val="clear" w:color="auto" w:fill="auto"/>
            <w:noWrap/>
            <w:vAlign w:val="center"/>
          </w:tcPr>
          <w:p w14:paraId="300BB4B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68.6</w:t>
            </w:r>
          </w:p>
        </w:tc>
        <w:tc>
          <w:tcPr>
            <w:tcW w:w="675" w:type="dxa"/>
            <w:shd w:val="clear" w:color="auto" w:fill="auto"/>
            <w:noWrap/>
            <w:vAlign w:val="center"/>
          </w:tcPr>
          <w:p w14:paraId="4C1FB2D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74</w:t>
            </w:r>
          </w:p>
        </w:tc>
        <w:tc>
          <w:tcPr>
            <w:tcW w:w="1485" w:type="dxa"/>
            <w:shd w:val="clear" w:color="auto" w:fill="auto"/>
            <w:noWrap/>
            <w:vAlign w:val="center"/>
          </w:tcPr>
          <w:p w14:paraId="771C689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48.5</w:t>
            </w:r>
          </w:p>
        </w:tc>
        <w:tc>
          <w:tcPr>
            <w:tcW w:w="706" w:type="dxa"/>
            <w:shd w:val="clear" w:color="auto" w:fill="auto"/>
            <w:noWrap/>
            <w:vAlign w:val="center"/>
          </w:tcPr>
          <w:p w14:paraId="17E6946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115</w:t>
            </w:r>
          </w:p>
        </w:tc>
        <w:tc>
          <w:tcPr>
            <w:tcW w:w="1454" w:type="dxa"/>
            <w:shd w:val="clear" w:color="auto" w:fill="auto"/>
            <w:noWrap/>
            <w:vAlign w:val="center"/>
          </w:tcPr>
          <w:p w14:paraId="03D7D19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50.0</w:t>
            </w:r>
          </w:p>
        </w:tc>
        <w:tc>
          <w:tcPr>
            <w:tcW w:w="733" w:type="dxa"/>
            <w:shd w:val="clear" w:color="auto" w:fill="auto"/>
            <w:noWrap/>
            <w:vAlign w:val="center"/>
          </w:tcPr>
          <w:p w14:paraId="0991559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155</w:t>
            </w:r>
          </w:p>
        </w:tc>
        <w:tc>
          <w:tcPr>
            <w:tcW w:w="1427" w:type="dxa"/>
            <w:shd w:val="clear" w:color="auto" w:fill="auto"/>
            <w:noWrap/>
            <w:vAlign w:val="center"/>
          </w:tcPr>
          <w:p w14:paraId="278D6EB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46.0</w:t>
            </w:r>
          </w:p>
        </w:tc>
      </w:tr>
      <w:tr w14:paraId="25131597">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0E2F05D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34</w:t>
            </w:r>
          </w:p>
        </w:tc>
        <w:tc>
          <w:tcPr>
            <w:tcW w:w="1447" w:type="dxa"/>
            <w:shd w:val="clear" w:color="auto" w:fill="auto"/>
            <w:noWrap/>
            <w:vAlign w:val="center"/>
          </w:tcPr>
          <w:p w14:paraId="3D00A9A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43.4</w:t>
            </w:r>
          </w:p>
        </w:tc>
        <w:tc>
          <w:tcPr>
            <w:tcW w:w="675" w:type="dxa"/>
            <w:shd w:val="clear" w:color="auto" w:fill="auto"/>
            <w:noWrap/>
            <w:vAlign w:val="center"/>
          </w:tcPr>
          <w:p w14:paraId="5D79589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75</w:t>
            </w:r>
          </w:p>
        </w:tc>
        <w:tc>
          <w:tcPr>
            <w:tcW w:w="1485" w:type="dxa"/>
            <w:shd w:val="clear" w:color="auto" w:fill="auto"/>
            <w:noWrap/>
            <w:vAlign w:val="center"/>
          </w:tcPr>
          <w:p w14:paraId="13495CE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50.7</w:t>
            </w:r>
          </w:p>
        </w:tc>
        <w:tc>
          <w:tcPr>
            <w:tcW w:w="706" w:type="dxa"/>
            <w:shd w:val="clear" w:color="auto" w:fill="auto"/>
            <w:noWrap/>
            <w:vAlign w:val="center"/>
          </w:tcPr>
          <w:p w14:paraId="007E941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116</w:t>
            </w:r>
          </w:p>
        </w:tc>
        <w:tc>
          <w:tcPr>
            <w:tcW w:w="1454" w:type="dxa"/>
            <w:shd w:val="clear" w:color="auto" w:fill="auto"/>
            <w:noWrap/>
            <w:vAlign w:val="center"/>
          </w:tcPr>
          <w:p w14:paraId="13030AD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57.9</w:t>
            </w:r>
          </w:p>
        </w:tc>
        <w:tc>
          <w:tcPr>
            <w:tcW w:w="733" w:type="dxa"/>
            <w:shd w:val="clear" w:color="auto" w:fill="auto"/>
            <w:noWrap/>
            <w:vAlign w:val="center"/>
          </w:tcPr>
          <w:p w14:paraId="76C3E2E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156</w:t>
            </w:r>
          </w:p>
        </w:tc>
        <w:tc>
          <w:tcPr>
            <w:tcW w:w="1427" w:type="dxa"/>
            <w:shd w:val="clear" w:color="auto" w:fill="auto"/>
            <w:noWrap/>
            <w:vAlign w:val="center"/>
          </w:tcPr>
          <w:p w14:paraId="53E5770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42.5</w:t>
            </w:r>
          </w:p>
        </w:tc>
      </w:tr>
      <w:tr w14:paraId="275322D9">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68300C7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35</w:t>
            </w:r>
          </w:p>
        </w:tc>
        <w:tc>
          <w:tcPr>
            <w:tcW w:w="1447" w:type="dxa"/>
            <w:shd w:val="clear" w:color="auto" w:fill="auto"/>
            <w:noWrap/>
            <w:vAlign w:val="center"/>
          </w:tcPr>
          <w:p w14:paraId="165BC79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42.1</w:t>
            </w:r>
          </w:p>
        </w:tc>
        <w:tc>
          <w:tcPr>
            <w:tcW w:w="675" w:type="dxa"/>
            <w:shd w:val="clear" w:color="auto" w:fill="auto"/>
            <w:noWrap/>
            <w:vAlign w:val="center"/>
          </w:tcPr>
          <w:p w14:paraId="5A04BDD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76</w:t>
            </w:r>
          </w:p>
        </w:tc>
        <w:tc>
          <w:tcPr>
            <w:tcW w:w="1485" w:type="dxa"/>
            <w:shd w:val="clear" w:color="auto" w:fill="auto"/>
            <w:noWrap/>
            <w:vAlign w:val="center"/>
          </w:tcPr>
          <w:p w14:paraId="02F33CE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48.7</w:t>
            </w:r>
          </w:p>
        </w:tc>
        <w:tc>
          <w:tcPr>
            <w:tcW w:w="706" w:type="dxa"/>
            <w:shd w:val="clear" w:color="auto" w:fill="auto"/>
            <w:noWrap/>
            <w:vAlign w:val="center"/>
          </w:tcPr>
          <w:p w14:paraId="4874C11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117</w:t>
            </w:r>
          </w:p>
        </w:tc>
        <w:tc>
          <w:tcPr>
            <w:tcW w:w="1454" w:type="dxa"/>
            <w:shd w:val="clear" w:color="auto" w:fill="auto"/>
            <w:noWrap/>
            <w:vAlign w:val="center"/>
          </w:tcPr>
          <w:p w14:paraId="422142C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40.5</w:t>
            </w:r>
          </w:p>
        </w:tc>
        <w:tc>
          <w:tcPr>
            <w:tcW w:w="733" w:type="dxa"/>
            <w:shd w:val="clear" w:color="auto" w:fill="auto"/>
            <w:noWrap/>
            <w:vAlign w:val="center"/>
          </w:tcPr>
          <w:p w14:paraId="110C144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157</w:t>
            </w:r>
          </w:p>
        </w:tc>
        <w:tc>
          <w:tcPr>
            <w:tcW w:w="1427" w:type="dxa"/>
            <w:shd w:val="clear" w:color="auto" w:fill="auto"/>
            <w:noWrap/>
            <w:vAlign w:val="center"/>
          </w:tcPr>
          <w:p w14:paraId="1772B9E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59.0</w:t>
            </w:r>
          </w:p>
        </w:tc>
      </w:tr>
      <w:tr w14:paraId="72F5D438">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3B6C945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36</w:t>
            </w:r>
          </w:p>
        </w:tc>
        <w:tc>
          <w:tcPr>
            <w:tcW w:w="1447" w:type="dxa"/>
            <w:shd w:val="clear" w:color="auto" w:fill="auto"/>
            <w:noWrap/>
            <w:vAlign w:val="center"/>
          </w:tcPr>
          <w:p w14:paraId="4F834EE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42.5</w:t>
            </w:r>
          </w:p>
        </w:tc>
        <w:tc>
          <w:tcPr>
            <w:tcW w:w="675" w:type="dxa"/>
            <w:shd w:val="clear" w:color="auto" w:fill="auto"/>
            <w:noWrap/>
            <w:vAlign w:val="center"/>
          </w:tcPr>
          <w:p w14:paraId="7B75EAF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77</w:t>
            </w:r>
          </w:p>
        </w:tc>
        <w:tc>
          <w:tcPr>
            <w:tcW w:w="1485" w:type="dxa"/>
            <w:shd w:val="clear" w:color="auto" w:fill="auto"/>
            <w:noWrap/>
            <w:vAlign w:val="center"/>
          </w:tcPr>
          <w:p w14:paraId="75C3449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46.5</w:t>
            </w:r>
          </w:p>
        </w:tc>
        <w:tc>
          <w:tcPr>
            <w:tcW w:w="706" w:type="dxa"/>
            <w:shd w:val="clear" w:color="auto" w:fill="auto"/>
            <w:noWrap/>
            <w:vAlign w:val="center"/>
          </w:tcPr>
          <w:p w14:paraId="5F2C413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118</w:t>
            </w:r>
          </w:p>
        </w:tc>
        <w:tc>
          <w:tcPr>
            <w:tcW w:w="1454" w:type="dxa"/>
            <w:shd w:val="clear" w:color="auto" w:fill="auto"/>
            <w:noWrap/>
            <w:vAlign w:val="center"/>
          </w:tcPr>
          <w:p w14:paraId="3FCF5A9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64.2</w:t>
            </w:r>
          </w:p>
        </w:tc>
        <w:tc>
          <w:tcPr>
            <w:tcW w:w="733" w:type="dxa"/>
            <w:shd w:val="clear" w:color="auto" w:fill="auto"/>
            <w:noWrap/>
            <w:vAlign w:val="center"/>
          </w:tcPr>
          <w:p w14:paraId="10D20FE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158</w:t>
            </w:r>
          </w:p>
        </w:tc>
        <w:tc>
          <w:tcPr>
            <w:tcW w:w="1427" w:type="dxa"/>
            <w:shd w:val="clear" w:color="auto" w:fill="auto"/>
            <w:noWrap/>
            <w:vAlign w:val="center"/>
          </w:tcPr>
          <w:p w14:paraId="65B885E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69.3</w:t>
            </w:r>
          </w:p>
        </w:tc>
      </w:tr>
      <w:tr w14:paraId="5C976D10">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5BDB585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37</w:t>
            </w:r>
          </w:p>
        </w:tc>
        <w:tc>
          <w:tcPr>
            <w:tcW w:w="1447" w:type="dxa"/>
            <w:shd w:val="clear" w:color="auto" w:fill="auto"/>
            <w:noWrap/>
            <w:vAlign w:val="center"/>
          </w:tcPr>
          <w:p w14:paraId="08D9B08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62.0</w:t>
            </w:r>
          </w:p>
        </w:tc>
        <w:tc>
          <w:tcPr>
            <w:tcW w:w="675" w:type="dxa"/>
            <w:shd w:val="clear" w:color="auto" w:fill="auto"/>
            <w:noWrap/>
            <w:vAlign w:val="center"/>
          </w:tcPr>
          <w:p w14:paraId="2256864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78</w:t>
            </w:r>
          </w:p>
        </w:tc>
        <w:tc>
          <w:tcPr>
            <w:tcW w:w="1485" w:type="dxa"/>
            <w:shd w:val="clear" w:color="auto" w:fill="auto"/>
            <w:noWrap/>
            <w:vAlign w:val="center"/>
          </w:tcPr>
          <w:p w14:paraId="6C6A646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46.2</w:t>
            </w:r>
          </w:p>
        </w:tc>
        <w:tc>
          <w:tcPr>
            <w:tcW w:w="706" w:type="dxa"/>
            <w:shd w:val="clear" w:color="auto" w:fill="auto"/>
            <w:noWrap/>
            <w:vAlign w:val="center"/>
          </w:tcPr>
          <w:p w14:paraId="489B957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119</w:t>
            </w:r>
          </w:p>
        </w:tc>
        <w:tc>
          <w:tcPr>
            <w:tcW w:w="1454" w:type="dxa"/>
            <w:shd w:val="clear" w:color="auto" w:fill="auto"/>
            <w:noWrap/>
            <w:vAlign w:val="center"/>
          </w:tcPr>
          <w:p w14:paraId="13C2F23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53.1</w:t>
            </w:r>
          </w:p>
        </w:tc>
        <w:tc>
          <w:tcPr>
            <w:tcW w:w="733" w:type="dxa"/>
            <w:shd w:val="clear" w:color="auto" w:fill="auto"/>
            <w:noWrap/>
            <w:vAlign w:val="center"/>
          </w:tcPr>
          <w:p w14:paraId="38D21F7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159</w:t>
            </w:r>
          </w:p>
        </w:tc>
        <w:tc>
          <w:tcPr>
            <w:tcW w:w="1427" w:type="dxa"/>
            <w:shd w:val="clear" w:color="auto" w:fill="auto"/>
            <w:noWrap/>
            <w:vAlign w:val="center"/>
          </w:tcPr>
          <w:p w14:paraId="700DCDA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62.6</w:t>
            </w:r>
          </w:p>
        </w:tc>
      </w:tr>
      <w:tr w14:paraId="71271C3D">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383FE02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38</w:t>
            </w:r>
          </w:p>
        </w:tc>
        <w:tc>
          <w:tcPr>
            <w:tcW w:w="1447" w:type="dxa"/>
            <w:shd w:val="clear" w:color="auto" w:fill="auto"/>
            <w:noWrap/>
            <w:vAlign w:val="center"/>
          </w:tcPr>
          <w:p w14:paraId="0586C36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44.8</w:t>
            </w:r>
          </w:p>
        </w:tc>
        <w:tc>
          <w:tcPr>
            <w:tcW w:w="675" w:type="dxa"/>
            <w:shd w:val="clear" w:color="auto" w:fill="auto"/>
            <w:noWrap/>
            <w:vAlign w:val="center"/>
          </w:tcPr>
          <w:p w14:paraId="1E03501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79</w:t>
            </w:r>
          </w:p>
        </w:tc>
        <w:tc>
          <w:tcPr>
            <w:tcW w:w="1485" w:type="dxa"/>
            <w:shd w:val="clear" w:color="auto" w:fill="auto"/>
            <w:noWrap/>
            <w:vAlign w:val="center"/>
          </w:tcPr>
          <w:p w14:paraId="0023432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54.5</w:t>
            </w:r>
          </w:p>
        </w:tc>
        <w:tc>
          <w:tcPr>
            <w:tcW w:w="706" w:type="dxa"/>
            <w:shd w:val="clear" w:color="auto" w:fill="auto"/>
            <w:noWrap/>
            <w:vAlign w:val="center"/>
          </w:tcPr>
          <w:p w14:paraId="63D380E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120</w:t>
            </w:r>
          </w:p>
        </w:tc>
        <w:tc>
          <w:tcPr>
            <w:tcW w:w="1454" w:type="dxa"/>
            <w:shd w:val="clear" w:color="auto" w:fill="auto"/>
            <w:noWrap/>
            <w:vAlign w:val="center"/>
          </w:tcPr>
          <w:p w14:paraId="44064E4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55.3</w:t>
            </w:r>
          </w:p>
        </w:tc>
        <w:tc>
          <w:tcPr>
            <w:tcW w:w="733" w:type="dxa"/>
            <w:shd w:val="clear" w:color="auto" w:fill="auto"/>
            <w:noWrap/>
            <w:vAlign w:val="center"/>
          </w:tcPr>
          <w:p w14:paraId="40F4FE6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160</w:t>
            </w:r>
          </w:p>
        </w:tc>
        <w:tc>
          <w:tcPr>
            <w:tcW w:w="1427" w:type="dxa"/>
            <w:shd w:val="clear" w:color="auto" w:fill="auto"/>
            <w:noWrap/>
            <w:vAlign w:val="center"/>
          </w:tcPr>
          <w:p w14:paraId="11CFEF9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55.0</w:t>
            </w:r>
          </w:p>
        </w:tc>
      </w:tr>
      <w:tr w14:paraId="260B24A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04734CB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39</w:t>
            </w:r>
          </w:p>
        </w:tc>
        <w:tc>
          <w:tcPr>
            <w:tcW w:w="1447" w:type="dxa"/>
            <w:shd w:val="clear" w:color="auto" w:fill="auto"/>
            <w:noWrap/>
            <w:vAlign w:val="center"/>
          </w:tcPr>
          <w:p w14:paraId="5651F7F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43.1</w:t>
            </w:r>
          </w:p>
        </w:tc>
        <w:tc>
          <w:tcPr>
            <w:tcW w:w="675" w:type="dxa"/>
            <w:shd w:val="clear" w:color="auto" w:fill="auto"/>
            <w:noWrap/>
            <w:vAlign w:val="center"/>
          </w:tcPr>
          <w:p w14:paraId="21A1C9F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80</w:t>
            </w:r>
          </w:p>
        </w:tc>
        <w:tc>
          <w:tcPr>
            <w:tcW w:w="1485" w:type="dxa"/>
            <w:shd w:val="clear" w:color="auto" w:fill="auto"/>
            <w:noWrap/>
            <w:vAlign w:val="center"/>
          </w:tcPr>
          <w:p w14:paraId="56CEEF4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41.0</w:t>
            </w:r>
          </w:p>
        </w:tc>
        <w:tc>
          <w:tcPr>
            <w:tcW w:w="706" w:type="dxa"/>
            <w:shd w:val="clear" w:color="auto" w:fill="auto"/>
            <w:noWrap/>
            <w:vAlign w:val="center"/>
          </w:tcPr>
          <w:p w14:paraId="5BBDBCF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121</w:t>
            </w:r>
          </w:p>
        </w:tc>
        <w:tc>
          <w:tcPr>
            <w:tcW w:w="1454" w:type="dxa"/>
            <w:shd w:val="clear" w:color="auto" w:fill="auto"/>
            <w:noWrap/>
            <w:vAlign w:val="center"/>
          </w:tcPr>
          <w:p w14:paraId="1906876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44.6</w:t>
            </w:r>
          </w:p>
        </w:tc>
        <w:tc>
          <w:tcPr>
            <w:tcW w:w="733" w:type="dxa"/>
            <w:shd w:val="clear" w:color="auto" w:fill="auto"/>
            <w:noWrap/>
            <w:vAlign w:val="center"/>
          </w:tcPr>
          <w:p w14:paraId="2A862F9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161</w:t>
            </w:r>
          </w:p>
        </w:tc>
        <w:tc>
          <w:tcPr>
            <w:tcW w:w="1427" w:type="dxa"/>
            <w:shd w:val="clear" w:color="auto" w:fill="auto"/>
            <w:noWrap/>
            <w:vAlign w:val="center"/>
          </w:tcPr>
          <w:p w14:paraId="78DBDF1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63.5</w:t>
            </w:r>
          </w:p>
        </w:tc>
      </w:tr>
      <w:tr w14:paraId="5FF15D89">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shd w:val="clear" w:color="auto" w:fill="auto"/>
            <w:noWrap/>
            <w:vAlign w:val="center"/>
          </w:tcPr>
          <w:p w14:paraId="148A726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40</w:t>
            </w:r>
          </w:p>
        </w:tc>
        <w:tc>
          <w:tcPr>
            <w:tcW w:w="1447" w:type="dxa"/>
            <w:shd w:val="clear" w:color="auto" w:fill="auto"/>
            <w:noWrap/>
            <w:vAlign w:val="center"/>
          </w:tcPr>
          <w:p w14:paraId="1E5317A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40.1</w:t>
            </w:r>
          </w:p>
        </w:tc>
        <w:tc>
          <w:tcPr>
            <w:tcW w:w="675" w:type="dxa"/>
            <w:shd w:val="clear" w:color="auto" w:fill="auto"/>
            <w:noWrap/>
            <w:vAlign w:val="center"/>
          </w:tcPr>
          <w:p w14:paraId="74BE694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81</w:t>
            </w:r>
          </w:p>
        </w:tc>
        <w:tc>
          <w:tcPr>
            <w:tcW w:w="1485" w:type="dxa"/>
            <w:shd w:val="clear" w:color="auto" w:fill="auto"/>
            <w:noWrap/>
            <w:vAlign w:val="center"/>
          </w:tcPr>
          <w:p w14:paraId="47D8E6C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46.0</w:t>
            </w:r>
          </w:p>
        </w:tc>
        <w:tc>
          <w:tcPr>
            <w:tcW w:w="706" w:type="dxa"/>
            <w:shd w:val="clear" w:color="auto" w:fill="auto"/>
            <w:noWrap/>
            <w:vAlign w:val="center"/>
          </w:tcPr>
          <w:p w14:paraId="671A96B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122</w:t>
            </w:r>
          </w:p>
        </w:tc>
        <w:tc>
          <w:tcPr>
            <w:tcW w:w="1454" w:type="dxa"/>
            <w:shd w:val="clear" w:color="auto" w:fill="auto"/>
            <w:noWrap/>
            <w:vAlign w:val="center"/>
          </w:tcPr>
          <w:p w14:paraId="0215DC2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51.5</w:t>
            </w:r>
          </w:p>
        </w:tc>
        <w:tc>
          <w:tcPr>
            <w:tcW w:w="733" w:type="dxa"/>
            <w:shd w:val="clear" w:color="auto" w:fill="auto"/>
            <w:noWrap/>
            <w:vAlign w:val="center"/>
          </w:tcPr>
          <w:p w14:paraId="1BAC8C6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162</w:t>
            </w:r>
          </w:p>
        </w:tc>
        <w:tc>
          <w:tcPr>
            <w:tcW w:w="1427" w:type="dxa"/>
            <w:shd w:val="clear" w:color="auto" w:fill="auto"/>
            <w:noWrap/>
            <w:vAlign w:val="center"/>
          </w:tcPr>
          <w:p w14:paraId="459428E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53.0</w:t>
            </w:r>
          </w:p>
        </w:tc>
      </w:tr>
      <w:tr w14:paraId="76212523">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13" w:type="dxa"/>
            <w:tcBorders>
              <w:bottom w:val="single" w:color="auto" w:sz="12" w:space="0"/>
            </w:tcBorders>
            <w:shd w:val="clear" w:color="auto" w:fill="auto"/>
            <w:noWrap/>
            <w:vAlign w:val="center"/>
          </w:tcPr>
          <w:p w14:paraId="499E3F2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41</w:t>
            </w:r>
          </w:p>
        </w:tc>
        <w:tc>
          <w:tcPr>
            <w:tcW w:w="1447" w:type="dxa"/>
            <w:tcBorders>
              <w:bottom w:val="single" w:color="auto" w:sz="12" w:space="0"/>
            </w:tcBorders>
            <w:shd w:val="clear" w:color="auto" w:fill="auto"/>
            <w:noWrap/>
            <w:vAlign w:val="center"/>
          </w:tcPr>
          <w:p w14:paraId="56E910E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45.3</w:t>
            </w:r>
          </w:p>
        </w:tc>
        <w:tc>
          <w:tcPr>
            <w:tcW w:w="675" w:type="dxa"/>
            <w:tcBorders>
              <w:bottom w:val="single" w:color="auto" w:sz="12" w:space="0"/>
            </w:tcBorders>
            <w:shd w:val="clear" w:color="auto" w:fill="auto"/>
            <w:noWrap/>
            <w:vAlign w:val="center"/>
          </w:tcPr>
          <w:p w14:paraId="463A836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82</w:t>
            </w:r>
          </w:p>
        </w:tc>
        <w:tc>
          <w:tcPr>
            <w:tcW w:w="1485" w:type="dxa"/>
            <w:tcBorders>
              <w:bottom w:val="single" w:color="auto" w:sz="12" w:space="0"/>
            </w:tcBorders>
            <w:shd w:val="clear" w:color="auto" w:fill="auto"/>
            <w:noWrap/>
            <w:vAlign w:val="center"/>
          </w:tcPr>
          <w:p w14:paraId="4DCFC83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53.3</w:t>
            </w:r>
          </w:p>
        </w:tc>
        <w:tc>
          <w:tcPr>
            <w:tcW w:w="706" w:type="dxa"/>
            <w:tcBorders>
              <w:bottom w:val="single" w:color="auto" w:sz="12" w:space="0"/>
            </w:tcBorders>
            <w:shd w:val="clear" w:color="auto" w:fill="auto"/>
            <w:noWrap/>
            <w:vAlign w:val="center"/>
          </w:tcPr>
          <w:p w14:paraId="37405F2A">
            <w:pPr>
              <w:keepNext w:val="0"/>
              <w:keepLines w:val="0"/>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p>
        </w:tc>
        <w:tc>
          <w:tcPr>
            <w:tcW w:w="1454" w:type="dxa"/>
            <w:tcBorders>
              <w:bottom w:val="single" w:color="auto" w:sz="12" w:space="0"/>
            </w:tcBorders>
            <w:shd w:val="clear" w:color="auto" w:fill="auto"/>
            <w:noWrap/>
            <w:vAlign w:val="center"/>
          </w:tcPr>
          <w:p w14:paraId="3B8F93CB">
            <w:pPr>
              <w:keepNext w:val="0"/>
              <w:keepLines w:val="0"/>
              <w:suppressLineNumbers w:val="0"/>
              <w:spacing w:before="0" w:beforeAutospacing="0" w:after="0" w:afterAutospacing="0"/>
              <w:ind w:left="0" w:right="0"/>
              <w:jc w:val="center"/>
              <w:rPr>
                <w:rFonts w:hint="eastAsia" w:asciiTheme="minorEastAsia" w:hAnsiTheme="minorEastAsia" w:cstheme="minorEastAsia"/>
                <w:kern w:val="0"/>
                <w:sz w:val="18"/>
                <w:szCs w:val="18"/>
              </w:rPr>
            </w:pPr>
          </w:p>
        </w:tc>
        <w:tc>
          <w:tcPr>
            <w:tcW w:w="733" w:type="dxa"/>
            <w:tcBorders>
              <w:bottom w:val="single" w:color="auto" w:sz="12" w:space="0"/>
            </w:tcBorders>
            <w:shd w:val="clear" w:color="auto" w:fill="auto"/>
            <w:noWrap/>
            <w:vAlign w:val="center"/>
          </w:tcPr>
          <w:p w14:paraId="0E259BCE">
            <w:pPr>
              <w:keepNext w:val="0"/>
              <w:keepLines w:val="0"/>
              <w:suppressLineNumbers w:val="0"/>
              <w:spacing w:before="0" w:beforeAutospacing="0" w:after="0" w:afterAutospacing="0"/>
              <w:ind w:left="0" w:right="0"/>
              <w:jc w:val="center"/>
              <w:rPr>
                <w:rFonts w:hint="eastAsia" w:asciiTheme="minorEastAsia" w:hAnsiTheme="minorEastAsia" w:cstheme="minorEastAsia"/>
                <w:kern w:val="0"/>
                <w:sz w:val="18"/>
                <w:szCs w:val="18"/>
              </w:rPr>
            </w:pPr>
          </w:p>
        </w:tc>
        <w:tc>
          <w:tcPr>
            <w:tcW w:w="1427" w:type="dxa"/>
            <w:tcBorders>
              <w:bottom w:val="single" w:color="auto" w:sz="12" w:space="0"/>
            </w:tcBorders>
            <w:shd w:val="clear" w:color="auto" w:fill="auto"/>
            <w:noWrap/>
            <w:vAlign w:val="center"/>
          </w:tcPr>
          <w:p w14:paraId="53D6E522">
            <w:pPr>
              <w:keepNext w:val="0"/>
              <w:keepLines w:val="0"/>
              <w:suppressLineNumbers w:val="0"/>
              <w:spacing w:before="0" w:beforeAutospacing="0" w:after="0" w:afterAutospacing="0"/>
              <w:ind w:left="0" w:right="0"/>
              <w:jc w:val="center"/>
              <w:rPr>
                <w:rFonts w:hint="eastAsia" w:asciiTheme="minorEastAsia" w:hAnsiTheme="minorEastAsia" w:cstheme="minorEastAsia"/>
                <w:kern w:val="0"/>
                <w:sz w:val="18"/>
                <w:szCs w:val="18"/>
              </w:rPr>
            </w:pPr>
          </w:p>
        </w:tc>
      </w:tr>
    </w:tbl>
    <w:p w14:paraId="6EBA8836">
      <w:pPr>
        <w:pStyle w:val="13"/>
        <w:spacing w:line="560" w:lineRule="exact"/>
        <w:ind w:firstLine="2640" w:firstLineChars="1100"/>
        <w:outlineLvl w:val="1"/>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ab/>
      </w:r>
      <w:r>
        <w:rPr>
          <w:rFonts w:hint="eastAsia" w:ascii="仿宋_GB2312" w:hAnsi="仿宋_GB2312" w:eastAsia="仿宋_GB2312" w:cs="仿宋_GB2312"/>
          <w:kern w:val="0"/>
          <w:sz w:val="24"/>
          <w:szCs w:val="24"/>
        </w:rPr>
        <w:t xml:space="preserve">    表</w:t>
      </w:r>
      <w:r>
        <w:rPr>
          <w:rFonts w:hint="eastAsia" w:ascii="仿宋_GB2312" w:hAnsi="仿宋_GB2312" w:eastAsia="仿宋_GB2312" w:cs="仿宋_GB2312"/>
          <w:kern w:val="0"/>
          <w:sz w:val="24"/>
          <w:szCs w:val="24"/>
          <w:lang w:val="en-US" w:eastAsia="zh-CN"/>
        </w:rPr>
        <w:t>6</w:t>
      </w:r>
      <w:r>
        <w:rPr>
          <w:rFonts w:hint="eastAsia" w:ascii="仿宋_GB2312" w:hAnsi="仿宋_GB2312" w:eastAsia="仿宋_GB2312" w:cs="仿宋_GB2312"/>
          <w:kern w:val="0"/>
          <w:sz w:val="24"/>
          <w:szCs w:val="24"/>
        </w:rPr>
        <w:t xml:space="preserve"> 竹笋含水率</w:t>
      </w:r>
    </w:p>
    <w:tbl>
      <w:tblPr>
        <w:tblStyle w:val="8"/>
        <w:tblW w:w="8640" w:type="dxa"/>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51"/>
        <w:gridCol w:w="1409"/>
        <w:gridCol w:w="675"/>
        <w:gridCol w:w="1485"/>
        <w:gridCol w:w="693"/>
        <w:gridCol w:w="1467"/>
        <w:gridCol w:w="750"/>
        <w:gridCol w:w="1410"/>
      </w:tblGrid>
      <w:tr w14:paraId="0162862A">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51" w:type="dxa"/>
            <w:tcBorders>
              <w:bottom w:val="single" w:color="auto" w:sz="4" w:space="0"/>
            </w:tcBorders>
            <w:shd w:val="clear" w:color="auto" w:fill="auto"/>
            <w:noWrap/>
            <w:vAlign w:val="center"/>
          </w:tcPr>
          <w:p w14:paraId="23BC565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09" w:type="dxa"/>
            <w:tcBorders>
              <w:bottom w:val="single" w:color="auto" w:sz="4" w:space="0"/>
            </w:tcBorders>
            <w:shd w:val="clear" w:color="auto" w:fill="auto"/>
            <w:noWrap/>
            <w:vAlign w:val="center"/>
          </w:tcPr>
          <w:p w14:paraId="0B49AF3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含水率/%</w:t>
            </w:r>
          </w:p>
        </w:tc>
        <w:tc>
          <w:tcPr>
            <w:tcW w:w="675" w:type="dxa"/>
            <w:tcBorders>
              <w:bottom w:val="single" w:color="auto" w:sz="4" w:space="0"/>
            </w:tcBorders>
            <w:shd w:val="clear" w:color="auto" w:fill="auto"/>
            <w:noWrap/>
            <w:vAlign w:val="center"/>
          </w:tcPr>
          <w:p w14:paraId="24D36F6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85" w:type="dxa"/>
            <w:tcBorders>
              <w:bottom w:val="single" w:color="auto" w:sz="4" w:space="0"/>
            </w:tcBorders>
            <w:shd w:val="clear" w:color="auto" w:fill="auto"/>
            <w:noWrap/>
            <w:vAlign w:val="center"/>
          </w:tcPr>
          <w:p w14:paraId="5E65928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含水率/%</w:t>
            </w:r>
          </w:p>
        </w:tc>
        <w:tc>
          <w:tcPr>
            <w:tcW w:w="693" w:type="dxa"/>
            <w:tcBorders>
              <w:bottom w:val="single" w:color="auto" w:sz="4" w:space="0"/>
            </w:tcBorders>
            <w:shd w:val="clear" w:color="auto" w:fill="auto"/>
            <w:noWrap/>
            <w:vAlign w:val="center"/>
          </w:tcPr>
          <w:p w14:paraId="79B2B27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67" w:type="dxa"/>
            <w:tcBorders>
              <w:bottom w:val="single" w:color="auto" w:sz="4" w:space="0"/>
            </w:tcBorders>
            <w:shd w:val="clear" w:color="auto" w:fill="auto"/>
            <w:noWrap/>
            <w:vAlign w:val="center"/>
          </w:tcPr>
          <w:p w14:paraId="577530E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含水率/%</w:t>
            </w:r>
          </w:p>
        </w:tc>
        <w:tc>
          <w:tcPr>
            <w:tcW w:w="750" w:type="dxa"/>
            <w:tcBorders>
              <w:bottom w:val="single" w:color="auto" w:sz="4" w:space="0"/>
            </w:tcBorders>
            <w:shd w:val="clear" w:color="auto" w:fill="auto"/>
            <w:noWrap/>
            <w:vAlign w:val="center"/>
          </w:tcPr>
          <w:p w14:paraId="45E21E9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10" w:type="dxa"/>
            <w:tcBorders>
              <w:bottom w:val="single" w:color="auto" w:sz="4" w:space="0"/>
            </w:tcBorders>
            <w:shd w:val="clear" w:color="auto" w:fill="auto"/>
            <w:noWrap/>
            <w:vAlign w:val="center"/>
          </w:tcPr>
          <w:p w14:paraId="0EBCF07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含水率/%</w:t>
            </w:r>
          </w:p>
        </w:tc>
      </w:tr>
      <w:tr w14:paraId="4BFB4477">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51" w:type="dxa"/>
            <w:tcBorders>
              <w:top w:val="single" w:color="auto" w:sz="4" w:space="0"/>
              <w:bottom w:val="nil"/>
            </w:tcBorders>
            <w:shd w:val="clear" w:color="auto" w:fill="auto"/>
            <w:noWrap/>
            <w:vAlign w:val="center"/>
          </w:tcPr>
          <w:p w14:paraId="3BC1A6D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w:t>
            </w:r>
          </w:p>
        </w:tc>
        <w:tc>
          <w:tcPr>
            <w:tcW w:w="1409" w:type="dxa"/>
            <w:tcBorders>
              <w:top w:val="single" w:color="auto" w:sz="4" w:space="0"/>
              <w:bottom w:val="nil"/>
            </w:tcBorders>
            <w:shd w:val="clear" w:color="auto" w:fill="auto"/>
            <w:noWrap/>
            <w:vAlign w:val="center"/>
          </w:tcPr>
          <w:p w14:paraId="0F29643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93.5</w:t>
            </w:r>
          </w:p>
        </w:tc>
        <w:tc>
          <w:tcPr>
            <w:tcW w:w="675" w:type="dxa"/>
            <w:tcBorders>
              <w:top w:val="single" w:color="auto" w:sz="4" w:space="0"/>
              <w:bottom w:val="nil"/>
            </w:tcBorders>
            <w:shd w:val="clear" w:color="auto" w:fill="auto"/>
            <w:noWrap/>
            <w:vAlign w:val="center"/>
          </w:tcPr>
          <w:p w14:paraId="41F5569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w:t>
            </w:r>
          </w:p>
        </w:tc>
        <w:tc>
          <w:tcPr>
            <w:tcW w:w="1485" w:type="dxa"/>
            <w:tcBorders>
              <w:top w:val="single" w:color="auto" w:sz="4" w:space="0"/>
              <w:bottom w:val="nil"/>
            </w:tcBorders>
            <w:shd w:val="clear" w:color="auto" w:fill="auto"/>
            <w:noWrap/>
            <w:vAlign w:val="center"/>
          </w:tcPr>
          <w:p w14:paraId="7C07877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92.3</w:t>
            </w:r>
          </w:p>
        </w:tc>
        <w:tc>
          <w:tcPr>
            <w:tcW w:w="693" w:type="dxa"/>
            <w:tcBorders>
              <w:top w:val="single" w:color="auto" w:sz="4" w:space="0"/>
              <w:bottom w:val="nil"/>
            </w:tcBorders>
            <w:shd w:val="clear" w:color="auto" w:fill="auto"/>
            <w:noWrap/>
            <w:vAlign w:val="center"/>
          </w:tcPr>
          <w:p w14:paraId="47E4CB4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w:t>
            </w:r>
          </w:p>
        </w:tc>
        <w:tc>
          <w:tcPr>
            <w:tcW w:w="1467" w:type="dxa"/>
            <w:tcBorders>
              <w:top w:val="single" w:color="auto" w:sz="4" w:space="0"/>
              <w:bottom w:val="nil"/>
            </w:tcBorders>
            <w:shd w:val="clear" w:color="auto" w:fill="auto"/>
            <w:noWrap/>
            <w:vAlign w:val="center"/>
          </w:tcPr>
          <w:p w14:paraId="2F58388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92.9</w:t>
            </w:r>
          </w:p>
        </w:tc>
        <w:tc>
          <w:tcPr>
            <w:tcW w:w="750" w:type="dxa"/>
            <w:tcBorders>
              <w:top w:val="single" w:color="auto" w:sz="4" w:space="0"/>
              <w:bottom w:val="nil"/>
            </w:tcBorders>
            <w:shd w:val="clear" w:color="auto" w:fill="auto"/>
            <w:noWrap/>
            <w:vAlign w:val="center"/>
          </w:tcPr>
          <w:p w14:paraId="667DF1B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16</w:t>
            </w:r>
          </w:p>
        </w:tc>
        <w:tc>
          <w:tcPr>
            <w:tcW w:w="1410" w:type="dxa"/>
            <w:tcBorders>
              <w:top w:val="single" w:color="auto" w:sz="4" w:space="0"/>
              <w:bottom w:val="nil"/>
            </w:tcBorders>
            <w:shd w:val="clear" w:color="auto" w:fill="auto"/>
            <w:noWrap/>
            <w:vAlign w:val="center"/>
          </w:tcPr>
          <w:p w14:paraId="08AF667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94.1</w:t>
            </w:r>
          </w:p>
        </w:tc>
      </w:tr>
      <w:tr w14:paraId="66F20C1B">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51" w:type="dxa"/>
            <w:tcBorders>
              <w:top w:val="nil"/>
            </w:tcBorders>
            <w:shd w:val="clear" w:color="auto" w:fill="auto"/>
            <w:noWrap/>
            <w:vAlign w:val="center"/>
          </w:tcPr>
          <w:p w14:paraId="017E638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w:t>
            </w:r>
          </w:p>
        </w:tc>
        <w:tc>
          <w:tcPr>
            <w:tcW w:w="1409" w:type="dxa"/>
            <w:tcBorders>
              <w:top w:val="nil"/>
            </w:tcBorders>
            <w:shd w:val="clear" w:color="auto" w:fill="auto"/>
            <w:noWrap/>
            <w:vAlign w:val="center"/>
          </w:tcPr>
          <w:p w14:paraId="68BCBA6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93.7</w:t>
            </w:r>
          </w:p>
        </w:tc>
        <w:tc>
          <w:tcPr>
            <w:tcW w:w="675" w:type="dxa"/>
            <w:tcBorders>
              <w:top w:val="nil"/>
            </w:tcBorders>
            <w:shd w:val="clear" w:color="auto" w:fill="auto"/>
            <w:noWrap/>
            <w:vAlign w:val="center"/>
          </w:tcPr>
          <w:p w14:paraId="2B491B5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7</w:t>
            </w:r>
          </w:p>
        </w:tc>
        <w:tc>
          <w:tcPr>
            <w:tcW w:w="1485" w:type="dxa"/>
            <w:tcBorders>
              <w:top w:val="nil"/>
            </w:tcBorders>
            <w:shd w:val="clear" w:color="auto" w:fill="auto"/>
            <w:noWrap/>
            <w:vAlign w:val="center"/>
          </w:tcPr>
          <w:p w14:paraId="2EAB27A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93.2</w:t>
            </w:r>
          </w:p>
        </w:tc>
        <w:tc>
          <w:tcPr>
            <w:tcW w:w="693" w:type="dxa"/>
            <w:tcBorders>
              <w:top w:val="nil"/>
            </w:tcBorders>
            <w:shd w:val="clear" w:color="auto" w:fill="auto"/>
            <w:noWrap/>
            <w:vAlign w:val="center"/>
          </w:tcPr>
          <w:p w14:paraId="771C46D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w:t>
            </w:r>
          </w:p>
        </w:tc>
        <w:tc>
          <w:tcPr>
            <w:tcW w:w="1467" w:type="dxa"/>
            <w:tcBorders>
              <w:top w:val="nil"/>
            </w:tcBorders>
            <w:shd w:val="clear" w:color="auto" w:fill="auto"/>
            <w:noWrap/>
            <w:vAlign w:val="center"/>
          </w:tcPr>
          <w:p w14:paraId="12D5BF6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93.9</w:t>
            </w:r>
          </w:p>
        </w:tc>
        <w:tc>
          <w:tcPr>
            <w:tcW w:w="750" w:type="dxa"/>
            <w:tcBorders>
              <w:top w:val="nil"/>
            </w:tcBorders>
            <w:shd w:val="clear" w:color="auto" w:fill="auto"/>
            <w:noWrap/>
            <w:vAlign w:val="center"/>
          </w:tcPr>
          <w:p w14:paraId="2D1BC50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17</w:t>
            </w:r>
          </w:p>
        </w:tc>
        <w:tc>
          <w:tcPr>
            <w:tcW w:w="1410" w:type="dxa"/>
            <w:tcBorders>
              <w:top w:val="nil"/>
            </w:tcBorders>
            <w:shd w:val="clear" w:color="auto" w:fill="auto"/>
            <w:noWrap/>
            <w:vAlign w:val="center"/>
          </w:tcPr>
          <w:p w14:paraId="1D6280C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92.8</w:t>
            </w:r>
          </w:p>
        </w:tc>
      </w:tr>
      <w:tr w14:paraId="3915C0DC">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51" w:type="dxa"/>
            <w:shd w:val="clear" w:color="auto" w:fill="auto"/>
            <w:noWrap/>
            <w:vAlign w:val="center"/>
          </w:tcPr>
          <w:p w14:paraId="6EC7572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w:t>
            </w:r>
          </w:p>
        </w:tc>
        <w:tc>
          <w:tcPr>
            <w:tcW w:w="1409" w:type="dxa"/>
            <w:shd w:val="clear" w:color="auto" w:fill="auto"/>
            <w:noWrap/>
            <w:vAlign w:val="center"/>
          </w:tcPr>
          <w:p w14:paraId="706749D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93.7</w:t>
            </w:r>
          </w:p>
        </w:tc>
        <w:tc>
          <w:tcPr>
            <w:tcW w:w="675" w:type="dxa"/>
            <w:shd w:val="clear" w:color="auto" w:fill="auto"/>
            <w:noWrap/>
            <w:vAlign w:val="center"/>
          </w:tcPr>
          <w:p w14:paraId="45895CE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w:t>
            </w:r>
          </w:p>
        </w:tc>
        <w:tc>
          <w:tcPr>
            <w:tcW w:w="1485" w:type="dxa"/>
            <w:shd w:val="clear" w:color="auto" w:fill="auto"/>
            <w:noWrap/>
            <w:vAlign w:val="center"/>
          </w:tcPr>
          <w:p w14:paraId="41BDFDF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93.8</w:t>
            </w:r>
          </w:p>
        </w:tc>
        <w:tc>
          <w:tcPr>
            <w:tcW w:w="693" w:type="dxa"/>
            <w:shd w:val="clear" w:color="auto" w:fill="auto"/>
            <w:noWrap/>
            <w:vAlign w:val="center"/>
          </w:tcPr>
          <w:p w14:paraId="30C56DE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w:t>
            </w:r>
          </w:p>
        </w:tc>
        <w:tc>
          <w:tcPr>
            <w:tcW w:w="1467" w:type="dxa"/>
            <w:shd w:val="clear" w:color="auto" w:fill="auto"/>
            <w:noWrap/>
            <w:vAlign w:val="center"/>
          </w:tcPr>
          <w:p w14:paraId="21155FE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95.0</w:t>
            </w:r>
          </w:p>
        </w:tc>
        <w:tc>
          <w:tcPr>
            <w:tcW w:w="750" w:type="dxa"/>
            <w:shd w:val="clear" w:color="auto" w:fill="auto"/>
            <w:noWrap/>
            <w:vAlign w:val="center"/>
          </w:tcPr>
          <w:p w14:paraId="4C0DE55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18</w:t>
            </w:r>
          </w:p>
        </w:tc>
        <w:tc>
          <w:tcPr>
            <w:tcW w:w="1410" w:type="dxa"/>
            <w:shd w:val="clear" w:color="auto" w:fill="auto"/>
            <w:noWrap/>
            <w:vAlign w:val="center"/>
          </w:tcPr>
          <w:p w14:paraId="4C24C13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92.8</w:t>
            </w:r>
          </w:p>
        </w:tc>
      </w:tr>
      <w:tr w14:paraId="150FA3C3">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51" w:type="dxa"/>
            <w:shd w:val="clear" w:color="auto" w:fill="auto"/>
            <w:noWrap/>
            <w:vAlign w:val="center"/>
          </w:tcPr>
          <w:p w14:paraId="12949C4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w:t>
            </w:r>
          </w:p>
        </w:tc>
        <w:tc>
          <w:tcPr>
            <w:tcW w:w="1409" w:type="dxa"/>
            <w:shd w:val="clear" w:color="auto" w:fill="auto"/>
            <w:noWrap/>
            <w:vAlign w:val="center"/>
          </w:tcPr>
          <w:p w14:paraId="6A3B256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93.3</w:t>
            </w:r>
          </w:p>
        </w:tc>
        <w:tc>
          <w:tcPr>
            <w:tcW w:w="675" w:type="dxa"/>
            <w:shd w:val="clear" w:color="auto" w:fill="auto"/>
            <w:noWrap/>
            <w:vAlign w:val="center"/>
          </w:tcPr>
          <w:p w14:paraId="7A16DEA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w:t>
            </w:r>
          </w:p>
        </w:tc>
        <w:tc>
          <w:tcPr>
            <w:tcW w:w="1485" w:type="dxa"/>
            <w:shd w:val="clear" w:color="auto" w:fill="auto"/>
            <w:noWrap/>
            <w:vAlign w:val="center"/>
          </w:tcPr>
          <w:p w14:paraId="5A6948C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93.7</w:t>
            </w:r>
          </w:p>
        </w:tc>
        <w:tc>
          <w:tcPr>
            <w:tcW w:w="693" w:type="dxa"/>
            <w:shd w:val="clear" w:color="auto" w:fill="auto"/>
            <w:noWrap/>
            <w:vAlign w:val="center"/>
          </w:tcPr>
          <w:p w14:paraId="141A8B8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14</w:t>
            </w:r>
          </w:p>
        </w:tc>
        <w:tc>
          <w:tcPr>
            <w:tcW w:w="1467" w:type="dxa"/>
            <w:shd w:val="clear" w:color="auto" w:fill="auto"/>
            <w:noWrap/>
            <w:vAlign w:val="center"/>
          </w:tcPr>
          <w:p w14:paraId="5968B16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94.3</w:t>
            </w:r>
          </w:p>
        </w:tc>
        <w:tc>
          <w:tcPr>
            <w:tcW w:w="750" w:type="dxa"/>
            <w:shd w:val="clear" w:color="auto" w:fill="auto"/>
            <w:noWrap/>
            <w:vAlign w:val="center"/>
          </w:tcPr>
          <w:p w14:paraId="206BC9E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19</w:t>
            </w:r>
          </w:p>
        </w:tc>
        <w:tc>
          <w:tcPr>
            <w:tcW w:w="1410" w:type="dxa"/>
            <w:shd w:val="clear" w:color="auto" w:fill="auto"/>
            <w:noWrap/>
            <w:vAlign w:val="center"/>
          </w:tcPr>
          <w:p w14:paraId="622DE0A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92.9</w:t>
            </w:r>
          </w:p>
        </w:tc>
      </w:tr>
      <w:tr w14:paraId="2E461198">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751" w:type="dxa"/>
            <w:shd w:val="clear" w:color="auto" w:fill="auto"/>
            <w:noWrap/>
            <w:vAlign w:val="center"/>
          </w:tcPr>
          <w:p w14:paraId="140A1B7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w:t>
            </w:r>
          </w:p>
        </w:tc>
        <w:tc>
          <w:tcPr>
            <w:tcW w:w="1409" w:type="dxa"/>
            <w:shd w:val="clear" w:color="auto" w:fill="auto"/>
            <w:noWrap/>
            <w:vAlign w:val="center"/>
          </w:tcPr>
          <w:p w14:paraId="62CBD9A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93.0</w:t>
            </w:r>
          </w:p>
        </w:tc>
        <w:tc>
          <w:tcPr>
            <w:tcW w:w="675" w:type="dxa"/>
            <w:shd w:val="clear" w:color="auto" w:fill="auto"/>
            <w:noWrap/>
            <w:vAlign w:val="center"/>
          </w:tcPr>
          <w:p w14:paraId="416AA5F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w:t>
            </w:r>
          </w:p>
        </w:tc>
        <w:tc>
          <w:tcPr>
            <w:tcW w:w="1485" w:type="dxa"/>
            <w:shd w:val="clear" w:color="auto" w:fill="auto"/>
            <w:noWrap/>
            <w:vAlign w:val="center"/>
          </w:tcPr>
          <w:p w14:paraId="336D4EE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92.6</w:t>
            </w:r>
          </w:p>
        </w:tc>
        <w:tc>
          <w:tcPr>
            <w:tcW w:w="693" w:type="dxa"/>
            <w:shd w:val="clear" w:color="auto" w:fill="auto"/>
            <w:noWrap/>
            <w:vAlign w:val="center"/>
          </w:tcPr>
          <w:p w14:paraId="0378651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w:t>
            </w:r>
          </w:p>
        </w:tc>
        <w:tc>
          <w:tcPr>
            <w:tcW w:w="1467" w:type="dxa"/>
            <w:shd w:val="clear" w:color="auto" w:fill="auto"/>
            <w:noWrap/>
            <w:vAlign w:val="center"/>
          </w:tcPr>
          <w:p w14:paraId="3CCAB1D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93.8</w:t>
            </w:r>
          </w:p>
        </w:tc>
        <w:tc>
          <w:tcPr>
            <w:tcW w:w="750" w:type="dxa"/>
            <w:shd w:val="clear" w:color="auto" w:fill="auto"/>
            <w:noWrap/>
            <w:vAlign w:val="center"/>
          </w:tcPr>
          <w:p w14:paraId="47147AF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20</w:t>
            </w:r>
          </w:p>
        </w:tc>
        <w:tc>
          <w:tcPr>
            <w:tcW w:w="1410" w:type="dxa"/>
            <w:shd w:val="clear" w:color="auto" w:fill="auto"/>
            <w:noWrap/>
            <w:vAlign w:val="center"/>
          </w:tcPr>
          <w:p w14:paraId="77BD251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93.1</w:t>
            </w:r>
          </w:p>
        </w:tc>
      </w:tr>
    </w:tbl>
    <w:p w14:paraId="2F92AC39">
      <w:pPr>
        <w:pStyle w:val="13"/>
        <w:spacing w:line="560" w:lineRule="exact"/>
        <w:ind w:firstLine="3360" w:firstLineChars="1400"/>
        <w:outlineLvl w:val="1"/>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表</w:t>
      </w:r>
      <w:r>
        <w:rPr>
          <w:rFonts w:hint="eastAsia" w:ascii="仿宋_GB2312" w:hAnsi="仿宋_GB2312" w:eastAsia="仿宋_GB2312" w:cs="仿宋_GB2312"/>
          <w:kern w:val="0"/>
          <w:sz w:val="24"/>
          <w:szCs w:val="24"/>
          <w:lang w:val="en-US" w:eastAsia="zh-CN"/>
        </w:rPr>
        <w:t>7</w:t>
      </w:r>
      <w:r>
        <w:rPr>
          <w:rFonts w:hint="eastAsia" w:ascii="仿宋_GB2312" w:hAnsi="仿宋_GB2312" w:eastAsia="仿宋_GB2312" w:cs="仿宋_GB2312"/>
          <w:kern w:val="0"/>
          <w:sz w:val="24"/>
          <w:szCs w:val="24"/>
        </w:rPr>
        <w:t>竹笋粗纤维</w:t>
      </w:r>
    </w:p>
    <w:tbl>
      <w:tblPr>
        <w:tblStyle w:val="8"/>
        <w:tblW w:w="8640" w:type="dxa"/>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13"/>
        <w:gridCol w:w="1347"/>
        <w:gridCol w:w="675"/>
        <w:gridCol w:w="1485"/>
        <w:gridCol w:w="743"/>
        <w:gridCol w:w="1417"/>
        <w:gridCol w:w="758"/>
        <w:gridCol w:w="1402"/>
      </w:tblGrid>
      <w:tr w14:paraId="1CC2E3CC">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blHeader/>
        </w:trPr>
        <w:tc>
          <w:tcPr>
            <w:tcW w:w="813" w:type="dxa"/>
            <w:tcBorders>
              <w:bottom w:val="single" w:color="auto" w:sz="4" w:space="0"/>
            </w:tcBorders>
            <w:shd w:val="clear" w:color="auto" w:fill="auto"/>
            <w:noWrap/>
            <w:vAlign w:val="center"/>
          </w:tcPr>
          <w:p w14:paraId="71DAA36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347" w:type="dxa"/>
            <w:tcBorders>
              <w:bottom w:val="single" w:color="auto" w:sz="4" w:space="0"/>
            </w:tcBorders>
            <w:shd w:val="clear" w:color="auto" w:fill="auto"/>
            <w:noWrap/>
            <w:vAlign w:val="center"/>
          </w:tcPr>
          <w:p w14:paraId="6BBAB12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粗纤维/%</w:t>
            </w:r>
          </w:p>
        </w:tc>
        <w:tc>
          <w:tcPr>
            <w:tcW w:w="675" w:type="dxa"/>
            <w:tcBorders>
              <w:bottom w:val="single" w:color="auto" w:sz="4" w:space="0"/>
            </w:tcBorders>
            <w:shd w:val="clear" w:color="auto" w:fill="auto"/>
            <w:noWrap/>
            <w:vAlign w:val="center"/>
          </w:tcPr>
          <w:p w14:paraId="742B1B2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85" w:type="dxa"/>
            <w:tcBorders>
              <w:bottom w:val="single" w:color="auto" w:sz="4" w:space="0"/>
            </w:tcBorders>
            <w:shd w:val="clear" w:color="auto" w:fill="auto"/>
            <w:noWrap/>
            <w:vAlign w:val="center"/>
          </w:tcPr>
          <w:p w14:paraId="34BE90D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粗纤维/%</w:t>
            </w:r>
          </w:p>
        </w:tc>
        <w:tc>
          <w:tcPr>
            <w:tcW w:w="743" w:type="dxa"/>
            <w:tcBorders>
              <w:bottom w:val="single" w:color="auto" w:sz="4" w:space="0"/>
            </w:tcBorders>
            <w:shd w:val="clear" w:color="auto" w:fill="auto"/>
            <w:noWrap/>
            <w:vAlign w:val="center"/>
          </w:tcPr>
          <w:p w14:paraId="0DC7A64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17" w:type="dxa"/>
            <w:tcBorders>
              <w:bottom w:val="single" w:color="auto" w:sz="4" w:space="0"/>
            </w:tcBorders>
            <w:shd w:val="clear" w:color="auto" w:fill="auto"/>
            <w:noWrap/>
            <w:vAlign w:val="center"/>
          </w:tcPr>
          <w:p w14:paraId="3F42DCA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粗纤维/%</w:t>
            </w:r>
          </w:p>
        </w:tc>
        <w:tc>
          <w:tcPr>
            <w:tcW w:w="758" w:type="dxa"/>
            <w:tcBorders>
              <w:bottom w:val="single" w:color="auto" w:sz="4" w:space="0"/>
            </w:tcBorders>
            <w:shd w:val="clear" w:color="auto" w:fill="auto"/>
            <w:noWrap/>
            <w:vAlign w:val="center"/>
          </w:tcPr>
          <w:p w14:paraId="03175A2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02" w:type="dxa"/>
            <w:tcBorders>
              <w:bottom w:val="single" w:color="auto" w:sz="4" w:space="0"/>
            </w:tcBorders>
            <w:shd w:val="clear" w:color="auto" w:fill="auto"/>
            <w:noWrap/>
            <w:vAlign w:val="center"/>
          </w:tcPr>
          <w:p w14:paraId="31EAEE4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粗纤维/%</w:t>
            </w:r>
          </w:p>
        </w:tc>
      </w:tr>
      <w:tr w14:paraId="61A8921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tcBorders>
              <w:top w:val="single" w:color="auto" w:sz="4" w:space="0"/>
              <w:bottom w:val="nil"/>
            </w:tcBorders>
            <w:shd w:val="clear" w:color="auto" w:fill="auto"/>
            <w:noWrap/>
            <w:vAlign w:val="center"/>
          </w:tcPr>
          <w:p w14:paraId="7BA9CBB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w:t>
            </w:r>
          </w:p>
        </w:tc>
        <w:tc>
          <w:tcPr>
            <w:tcW w:w="1347" w:type="dxa"/>
            <w:tcBorders>
              <w:top w:val="single" w:color="auto" w:sz="4" w:space="0"/>
              <w:bottom w:val="nil"/>
            </w:tcBorders>
            <w:shd w:val="clear" w:color="auto" w:fill="auto"/>
            <w:noWrap/>
            <w:vAlign w:val="center"/>
          </w:tcPr>
          <w:p w14:paraId="3BF93E0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0.7</w:t>
            </w:r>
          </w:p>
        </w:tc>
        <w:tc>
          <w:tcPr>
            <w:tcW w:w="675" w:type="dxa"/>
            <w:tcBorders>
              <w:top w:val="single" w:color="auto" w:sz="4" w:space="0"/>
              <w:bottom w:val="nil"/>
            </w:tcBorders>
            <w:shd w:val="clear" w:color="auto" w:fill="auto"/>
            <w:noWrap/>
            <w:vAlign w:val="center"/>
          </w:tcPr>
          <w:p w14:paraId="63CDEA8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w:t>
            </w:r>
          </w:p>
        </w:tc>
        <w:tc>
          <w:tcPr>
            <w:tcW w:w="1485" w:type="dxa"/>
            <w:tcBorders>
              <w:top w:val="single" w:color="auto" w:sz="4" w:space="0"/>
              <w:bottom w:val="nil"/>
            </w:tcBorders>
            <w:shd w:val="clear" w:color="auto" w:fill="auto"/>
            <w:noWrap/>
            <w:vAlign w:val="center"/>
          </w:tcPr>
          <w:p w14:paraId="6DAC637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0.6</w:t>
            </w:r>
          </w:p>
        </w:tc>
        <w:tc>
          <w:tcPr>
            <w:tcW w:w="743" w:type="dxa"/>
            <w:tcBorders>
              <w:top w:val="single" w:color="auto" w:sz="4" w:space="0"/>
              <w:bottom w:val="nil"/>
            </w:tcBorders>
            <w:shd w:val="clear" w:color="auto" w:fill="auto"/>
            <w:noWrap/>
            <w:vAlign w:val="center"/>
          </w:tcPr>
          <w:p w14:paraId="09718FB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w:t>
            </w:r>
          </w:p>
        </w:tc>
        <w:tc>
          <w:tcPr>
            <w:tcW w:w="1417" w:type="dxa"/>
            <w:tcBorders>
              <w:top w:val="single" w:color="auto" w:sz="4" w:space="0"/>
              <w:bottom w:val="nil"/>
            </w:tcBorders>
            <w:shd w:val="clear" w:color="auto" w:fill="auto"/>
            <w:noWrap/>
            <w:vAlign w:val="center"/>
          </w:tcPr>
          <w:p w14:paraId="64A27F0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0.9</w:t>
            </w:r>
          </w:p>
        </w:tc>
        <w:tc>
          <w:tcPr>
            <w:tcW w:w="758" w:type="dxa"/>
            <w:tcBorders>
              <w:top w:val="single" w:color="auto" w:sz="4" w:space="0"/>
              <w:bottom w:val="nil"/>
            </w:tcBorders>
            <w:shd w:val="clear" w:color="auto" w:fill="auto"/>
            <w:noWrap/>
            <w:vAlign w:val="center"/>
          </w:tcPr>
          <w:p w14:paraId="48F0D1F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22</w:t>
            </w:r>
          </w:p>
        </w:tc>
        <w:tc>
          <w:tcPr>
            <w:tcW w:w="1402" w:type="dxa"/>
            <w:tcBorders>
              <w:top w:val="single" w:color="auto" w:sz="4" w:space="0"/>
              <w:bottom w:val="nil"/>
            </w:tcBorders>
            <w:shd w:val="clear" w:color="auto" w:fill="auto"/>
            <w:noWrap/>
            <w:vAlign w:val="center"/>
          </w:tcPr>
          <w:p w14:paraId="59B3CC1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0.8</w:t>
            </w:r>
          </w:p>
        </w:tc>
      </w:tr>
      <w:tr w14:paraId="79E11917">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tcBorders>
              <w:top w:val="nil"/>
            </w:tcBorders>
            <w:shd w:val="clear" w:color="auto" w:fill="auto"/>
            <w:noWrap/>
            <w:vAlign w:val="center"/>
          </w:tcPr>
          <w:p w14:paraId="1AFAA95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w:t>
            </w:r>
          </w:p>
        </w:tc>
        <w:tc>
          <w:tcPr>
            <w:tcW w:w="1347" w:type="dxa"/>
            <w:tcBorders>
              <w:top w:val="nil"/>
            </w:tcBorders>
            <w:shd w:val="clear" w:color="auto" w:fill="auto"/>
            <w:noWrap/>
            <w:vAlign w:val="center"/>
          </w:tcPr>
          <w:p w14:paraId="1D3E848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0.6</w:t>
            </w:r>
          </w:p>
        </w:tc>
        <w:tc>
          <w:tcPr>
            <w:tcW w:w="675" w:type="dxa"/>
            <w:tcBorders>
              <w:top w:val="nil"/>
            </w:tcBorders>
            <w:shd w:val="clear" w:color="auto" w:fill="auto"/>
            <w:noWrap/>
            <w:vAlign w:val="center"/>
          </w:tcPr>
          <w:p w14:paraId="026E414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w:t>
            </w:r>
          </w:p>
        </w:tc>
        <w:tc>
          <w:tcPr>
            <w:tcW w:w="1485" w:type="dxa"/>
            <w:tcBorders>
              <w:top w:val="nil"/>
            </w:tcBorders>
            <w:shd w:val="clear" w:color="auto" w:fill="auto"/>
            <w:noWrap/>
            <w:vAlign w:val="center"/>
          </w:tcPr>
          <w:p w14:paraId="5ACAF04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0.7</w:t>
            </w:r>
          </w:p>
        </w:tc>
        <w:tc>
          <w:tcPr>
            <w:tcW w:w="743" w:type="dxa"/>
            <w:tcBorders>
              <w:top w:val="nil"/>
            </w:tcBorders>
            <w:shd w:val="clear" w:color="auto" w:fill="auto"/>
            <w:noWrap/>
            <w:vAlign w:val="center"/>
          </w:tcPr>
          <w:p w14:paraId="3671739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16</w:t>
            </w:r>
          </w:p>
        </w:tc>
        <w:tc>
          <w:tcPr>
            <w:tcW w:w="1417" w:type="dxa"/>
            <w:tcBorders>
              <w:top w:val="nil"/>
            </w:tcBorders>
            <w:shd w:val="clear" w:color="auto" w:fill="auto"/>
            <w:noWrap/>
            <w:vAlign w:val="center"/>
          </w:tcPr>
          <w:p w14:paraId="396C72D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0.6</w:t>
            </w:r>
          </w:p>
        </w:tc>
        <w:tc>
          <w:tcPr>
            <w:tcW w:w="758" w:type="dxa"/>
            <w:tcBorders>
              <w:top w:val="nil"/>
            </w:tcBorders>
            <w:shd w:val="clear" w:color="auto" w:fill="auto"/>
            <w:noWrap/>
            <w:vAlign w:val="center"/>
          </w:tcPr>
          <w:p w14:paraId="107EC68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23</w:t>
            </w:r>
          </w:p>
        </w:tc>
        <w:tc>
          <w:tcPr>
            <w:tcW w:w="1402" w:type="dxa"/>
            <w:tcBorders>
              <w:top w:val="nil"/>
            </w:tcBorders>
            <w:shd w:val="clear" w:color="auto" w:fill="auto"/>
            <w:noWrap/>
            <w:vAlign w:val="center"/>
          </w:tcPr>
          <w:p w14:paraId="6A91E3E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0.7</w:t>
            </w:r>
          </w:p>
        </w:tc>
      </w:tr>
      <w:tr w14:paraId="33B60EE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4B8C711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w:t>
            </w:r>
          </w:p>
        </w:tc>
        <w:tc>
          <w:tcPr>
            <w:tcW w:w="1347" w:type="dxa"/>
            <w:shd w:val="clear" w:color="auto" w:fill="auto"/>
            <w:noWrap/>
            <w:vAlign w:val="center"/>
          </w:tcPr>
          <w:p w14:paraId="65DAF17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w:t>
            </w:r>
          </w:p>
        </w:tc>
        <w:tc>
          <w:tcPr>
            <w:tcW w:w="675" w:type="dxa"/>
            <w:shd w:val="clear" w:color="auto" w:fill="auto"/>
            <w:noWrap/>
            <w:vAlign w:val="center"/>
          </w:tcPr>
          <w:p w14:paraId="1B6F57D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w:t>
            </w:r>
          </w:p>
        </w:tc>
        <w:tc>
          <w:tcPr>
            <w:tcW w:w="1485" w:type="dxa"/>
            <w:shd w:val="clear" w:color="auto" w:fill="auto"/>
            <w:noWrap/>
            <w:vAlign w:val="center"/>
          </w:tcPr>
          <w:p w14:paraId="1989067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0.7</w:t>
            </w:r>
          </w:p>
        </w:tc>
        <w:tc>
          <w:tcPr>
            <w:tcW w:w="743" w:type="dxa"/>
            <w:shd w:val="clear" w:color="auto" w:fill="auto"/>
            <w:noWrap/>
            <w:vAlign w:val="center"/>
          </w:tcPr>
          <w:p w14:paraId="38C970F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17</w:t>
            </w:r>
          </w:p>
        </w:tc>
        <w:tc>
          <w:tcPr>
            <w:tcW w:w="1417" w:type="dxa"/>
            <w:shd w:val="clear" w:color="auto" w:fill="auto"/>
            <w:noWrap/>
            <w:vAlign w:val="center"/>
          </w:tcPr>
          <w:p w14:paraId="22FEE7D5">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0.7</w:t>
            </w:r>
          </w:p>
        </w:tc>
        <w:tc>
          <w:tcPr>
            <w:tcW w:w="758" w:type="dxa"/>
            <w:shd w:val="clear" w:color="auto" w:fill="auto"/>
            <w:noWrap/>
            <w:vAlign w:val="center"/>
          </w:tcPr>
          <w:p w14:paraId="281089C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24</w:t>
            </w:r>
          </w:p>
        </w:tc>
        <w:tc>
          <w:tcPr>
            <w:tcW w:w="1402" w:type="dxa"/>
            <w:shd w:val="clear" w:color="auto" w:fill="auto"/>
            <w:noWrap/>
            <w:vAlign w:val="center"/>
          </w:tcPr>
          <w:p w14:paraId="1D82885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0.6</w:t>
            </w:r>
          </w:p>
        </w:tc>
      </w:tr>
      <w:tr w14:paraId="1774736A">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6A67B4AC">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w:t>
            </w:r>
          </w:p>
        </w:tc>
        <w:tc>
          <w:tcPr>
            <w:tcW w:w="1347" w:type="dxa"/>
            <w:shd w:val="clear" w:color="auto" w:fill="auto"/>
            <w:noWrap/>
            <w:vAlign w:val="center"/>
          </w:tcPr>
          <w:p w14:paraId="278B202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w:t>
            </w:r>
          </w:p>
        </w:tc>
        <w:tc>
          <w:tcPr>
            <w:tcW w:w="675" w:type="dxa"/>
            <w:shd w:val="clear" w:color="auto" w:fill="auto"/>
            <w:noWrap/>
            <w:vAlign w:val="center"/>
          </w:tcPr>
          <w:p w14:paraId="1F5C25D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w:t>
            </w:r>
          </w:p>
        </w:tc>
        <w:tc>
          <w:tcPr>
            <w:tcW w:w="1485" w:type="dxa"/>
            <w:shd w:val="clear" w:color="auto" w:fill="auto"/>
            <w:noWrap/>
            <w:vAlign w:val="center"/>
          </w:tcPr>
          <w:p w14:paraId="2D24AE7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0.8</w:t>
            </w:r>
          </w:p>
        </w:tc>
        <w:tc>
          <w:tcPr>
            <w:tcW w:w="743" w:type="dxa"/>
            <w:shd w:val="clear" w:color="auto" w:fill="auto"/>
            <w:noWrap/>
            <w:vAlign w:val="center"/>
          </w:tcPr>
          <w:p w14:paraId="7346647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18</w:t>
            </w:r>
          </w:p>
        </w:tc>
        <w:tc>
          <w:tcPr>
            <w:tcW w:w="1417" w:type="dxa"/>
            <w:shd w:val="clear" w:color="auto" w:fill="auto"/>
            <w:noWrap/>
            <w:vAlign w:val="center"/>
          </w:tcPr>
          <w:p w14:paraId="6E88595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0.6</w:t>
            </w:r>
          </w:p>
        </w:tc>
        <w:tc>
          <w:tcPr>
            <w:tcW w:w="758" w:type="dxa"/>
            <w:shd w:val="clear" w:color="auto" w:fill="auto"/>
            <w:noWrap/>
            <w:vAlign w:val="center"/>
          </w:tcPr>
          <w:p w14:paraId="7FD8E04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25</w:t>
            </w:r>
          </w:p>
        </w:tc>
        <w:tc>
          <w:tcPr>
            <w:tcW w:w="1402" w:type="dxa"/>
            <w:shd w:val="clear" w:color="auto" w:fill="auto"/>
            <w:noWrap/>
            <w:vAlign w:val="center"/>
          </w:tcPr>
          <w:p w14:paraId="3E211D7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0.6</w:t>
            </w:r>
          </w:p>
        </w:tc>
      </w:tr>
      <w:tr w14:paraId="0B6EFDFE">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697C75C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w:t>
            </w:r>
          </w:p>
        </w:tc>
        <w:tc>
          <w:tcPr>
            <w:tcW w:w="1347" w:type="dxa"/>
            <w:shd w:val="clear" w:color="auto" w:fill="auto"/>
            <w:noWrap/>
            <w:vAlign w:val="center"/>
          </w:tcPr>
          <w:p w14:paraId="66BF766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0.6</w:t>
            </w:r>
          </w:p>
        </w:tc>
        <w:tc>
          <w:tcPr>
            <w:tcW w:w="675" w:type="dxa"/>
            <w:shd w:val="clear" w:color="auto" w:fill="auto"/>
            <w:noWrap/>
            <w:vAlign w:val="center"/>
          </w:tcPr>
          <w:p w14:paraId="5A2E848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w:t>
            </w:r>
          </w:p>
        </w:tc>
        <w:tc>
          <w:tcPr>
            <w:tcW w:w="1485" w:type="dxa"/>
            <w:shd w:val="clear" w:color="auto" w:fill="auto"/>
            <w:noWrap/>
            <w:vAlign w:val="center"/>
          </w:tcPr>
          <w:p w14:paraId="459F9FA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0.7</w:t>
            </w:r>
          </w:p>
        </w:tc>
        <w:tc>
          <w:tcPr>
            <w:tcW w:w="743" w:type="dxa"/>
            <w:shd w:val="clear" w:color="auto" w:fill="auto"/>
            <w:noWrap/>
            <w:vAlign w:val="center"/>
          </w:tcPr>
          <w:p w14:paraId="17BC139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19</w:t>
            </w:r>
          </w:p>
        </w:tc>
        <w:tc>
          <w:tcPr>
            <w:tcW w:w="1417" w:type="dxa"/>
            <w:shd w:val="clear" w:color="auto" w:fill="auto"/>
            <w:noWrap/>
            <w:vAlign w:val="center"/>
          </w:tcPr>
          <w:p w14:paraId="25479C5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w:t>
            </w:r>
          </w:p>
        </w:tc>
        <w:tc>
          <w:tcPr>
            <w:tcW w:w="758" w:type="dxa"/>
            <w:shd w:val="clear" w:color="auto" w:fill="auto"/>
            <w:noWrap/>
            <w:vAlign w:val="center"/>
          </w:tcPr>
          <w:p w14:paraId="47454FFB">
            <w:pPr>
              <w:keepNext w:val="0"/>
              <w:keepLines w:val="0"/>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p>
        </w:tc>
        <w:tc>
          <w:tcPr>
            <w:tcW w:w="1402" w:type="dxa"/>
            <w:shd w:val="clear" w:color="auto" w:fill="auto"/>
            <w:noWrap/>
            <w:vAlign w:val="center"/>
          </w:tcPr>
          <w:p w14:paraId="491A27A0">
            <w:pPr>
              <w:keepNext w:val="0"/>
              <w:keepLines w:val="0"/>
              <w:suppressLineNumbers w:val="0"/>
              <w:spacing w:before="0" w:beforeAutospacing="0" w:after="0" w:afterAutospacing="0"/>
              <w:ind w:left="0" w:right="0"/>
              <w:jc w:val="center"/>
              <w:rPr>
                <w:rFonts w:hint="eastAsia" w:asciiTheme="minorEastAsia" w:hAnsiTheme="minorEastAsia" w:cstheme="minorEastAsia"/>
                <w:kern w:val="0"/>
                <w:sz w:val="18"/>
                <w:szCs w:val="18"/>
              </w:rPr>
            </w:pPr>
          </w:p>
        </w:tc>
      </w:tr>
      <w:tr w14:paraId="0567301C">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3C12BD1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w:t>
            </w:r>
          </w:p>
        </w:tc>
        <w:tc>
          <w:tcPr>
            <w:tcW w:w="1347" w:type="dxa"/>
            <w:shd w:val="clear" w:color="auto" w:fill="auto"/>
            <w:noWrap/>
            <w:vAlign w:val="center"/>
          </w:tcPr>
          <w:p w14:paraId="35ECB73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0.7</w:t>
            </w:r>
          </w:p>
        </w:tc>
        <w:tc>
          <w:tcPr>
            <w:tcW w:w="675" w:type="dxa"/>
            <w:shd w:val="clear" w:color="auto" w:fill="auto"/>
            <w:noWrap/>
            <w:vAlign w:val="center"/>
          </w:tcPr>
          <w:p w14:paraId="553E1BC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w:t>
            </w:r>
          </w:p>
        </w:tc>
        <w:tc>
          <w:tcPr>
            <w:tcW w:w="1485" w:type="dxa"/>
            <w:shd w:val="clear" w:color="auto" w:fill="auto"/>
            <w:noWrap/>
            <w:vAlign w:val="center"/>
          </w:tcPr>
          <w:p w14:paraId="4ABCE78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0.8</w:t>
            </w:r>
          </w:p>
        </w:tc>
        <w:tc>
          <w:tcPr>
            <w:tcW w:w="743" w:type="dxa"/>
            <w:shd w:val="clear" w:color="auto" w:fill="auto"/>
            <w:noWrap/>
            <w:vAlign w:val="center"/>
          </w:tcPr>
          <w:p w14:paraId="4C0BFDE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20</w:t>
            </w:r>
          </w:p>
        </w:tc>
        <w:tc>
          <w:tcPr>
            <w:tcW w:w="1417" w:type="dxa"/>
            <w:shd w:val="clear" w:color="auto" w:fill="auto"/>
            <w:noWrap/>
            <w:vAlign w:val="center"/>
          </w:tcPr>
          <w:p w14:paraId="0317DC5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w:t>
            </w:r>
          </w:p>
        </w:tc>
        <w:tc>
          <w:tcPr>
            <w:tcW w:w="758" w:type="dxa"/>
            <w:shd w:val="clear" w:color="auto" w:fill="auto"/>
            <w:noWrap/>
            <w:vAlign w:val="center"/>
          </w:tcPr>
          <w:p w14:paraId="456D88AB">
            <w:pPr>
              <w:keepNext w:val="0"/>
              <w:keepLines w:val="0"/>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p>
        </w:tc>
        <w:tc>
          <w:tcPr>
            <w:tcW w:w="1402" w:type="dxa"/>
            <w:shd w:val="clear" w:color="auto" w:fill="auto"/>
            <w:noWrap/>
            <w:vAlign w:val="center"/>
          </w:tcPr>
          <w:p w14:paraId="1620DA66">
            <w:pPr>
              <w:keepNext w:val="0"/>
              <w:keepLines w:val="0"/>
              <w:suppressLineNumbers w:val="0"/>
              <w:spacing w:before="0" w:beforeAutospacing="0" w:after="0" w:afterAutospacing="0"/>
              <w:ind w:left="0" w:right="0"/>
              <w:jc w:val="center"/>
              <w:rPr>
                <w:rFonts w:hint="eastAsia" w:asciiTheme="minorEastAsia" w:hAnsiTheme="minorEastAsia" w:cstheme="minorEastAsia"/>
                <w:kern w:val="0"/>
                <w:sz w:val="18"/>
                <w:szCs w:val="18"/>
              </w:rPr>
            </w:pPr>
          </w:p>
        </w:tc>
      </w:tr>
      <w:tr w14:paraId="374CE345">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62AD465C">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rPr>
              <w:t>7</w:t>
            </w:r>
          </w:p>
        </w:tc>
        <w:tc>
          <w:tcPr>
            <w:tcW w:w="1347" w:type="dxa"/>
            <w:shd w:val="clear" w:color="auto" w:fill="auto"/>
            <w:noWrap/>
            <w:vAlign w:val="center"/>
          </w:tcPr>
          <w:p w14:paraId="2C712D5C">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rPr>
              <w:t>0.6</w:t>
            </w:r>
          </w:p>
        </w:tc>
        <w:tc>
          <w:tcPr>
            <w:tcW w:w="675" w:type="dxa"/>
            <w:shd w:val="clear" w:color="auto" w:fill="auto"/>
            <w:noWrap/>
            <w:vAlign w:val="center"/>
          </w:tcPr>
          <w:p w14:paraId="0CE5F885">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rPr>
              <w:t>14</w:t>
            </w:r>
          </w:p>
        </w:tc>
        <w:tc>
          <w:tcPr>
            <w:tcW w:w="1485" w:type="dxa"/>
            <w:shd w:val="clear" w:color="auto" w:fill="auto"/>
            <w:noWrap/>
            <w:vAlign w:val="center"/>
          </w:tcPr>
          <w:p w14:paraId="6D7BAE7A">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rPr>
              <w:t>0.9</w:t>
            </w:r>
          </w:p>
        </w:tc>
        <w:tc>
          <w:tcPr>
            <w:tcW w:w="743" w:type="dxa"/>
            <w:shd w:val="clear" w:color="auto" w:fill="auto"/>
            <w:noWrap/>
            <w:vAlign w:val="center"/>
          </w:tcPr>
          <w:p w14:paraId="3CE165F2">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rPr>
              <w:t>21</w:t>
            </w:r>
          </w:p>
        </w:tc>
        <w:tc>
          <w:tcPr>
            <w:tcW w:w="1417" w:type="dxa"/>
            <w:shd w:val="clear" w:color="auto" w:fill="auto"/>
            <w:noWrap/>
            <w:vAlign w:val="center"/>
          </w:tcPr>
          <w:p w14:paraId="2E10D6D9">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rPr>
              <w:t>0.8</w:t>
            </w:r>
          </w:p>
        </w:tc>
        <w:tc>
          <w:tcPr>
            <w:tcW w:w="758" w:type="dxa"/>
            <w:shd w:val="clear" w:color="auto" w:fill="auto"/>
            <w:noWrap/>
            <w:vAlign w:val="center"/>
          </w:tcPr>
          <w:p w14:paraId="570F05D1">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p>
        </w:tc>
        <w:tc>
          <w:tcPr>
            <w:tcW w:w="1402" w:type="dxa"/>
            <w:shd w:val="clear" w:color="auto" w:fill="auto"/>
            <w:noWrap/>
            <w:vAlign w:val="center"/>
          </w:tcPr>
          <w:p w14:paraId="765F0B99">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kern w:val="0"/>
                <w:sz w:val="18"/>
                <w:szCs w:val="18"/>
              </w:rPr>
            </w:pPr>
          </w:p>
        </w:tc>
      </w:tr>
    </w:tbl>
    <w:p w14:paraId="23CD8D41">
      <w:pPr>
        <w:pStyle w:val="13"/>
        <w:spacing w:line="560" w:lineRule="exact"/>
        <w:ind w:firstLine="3360" w:firstLineChars="1400"/>
        <w:outlineLvl w:val="1"/>
        <w:rPr>
          <w:rFonts w:hint="default" w:ascii="仿宋_GB2312" w:hAnsi="仿宋_GB2312" w:eastAsia="仿宋_GB2312" w:cs="仿宋_GB2312"/>
          <w:kern w:val="0"/>
          <w:sz w:val="24"/>
          <w:szCs w:val="24"/>
          <w:lang w:val="en-US" w:eastAsia="zh-CN"/>
        </w:rPr>
      </w:pPr>
      <w:r>
        <w:rPr>
          <w:rFonts w:hint="eastAsia" w:ascii="仿宋_GB2312" w:hAnsi="仿宋_GB2312" w:eastAsia="仿宋_GB2312" w:cs="仿宋_GB2312"/>
          <w:kern w:val="0"/>
          <w:sz w:val="24"/>
          <w:szCs w:val="24"/>
        </w:rPr>
        <w:t>表</w:t>
      </w:r>
      <w:r>
        <w:rPr>
          <w:rFonts w:hint="eastAsia" w:ascii="仿宋_GB2312" w:hAnsi="仿宋_GB2312" w:eastAsia="仿宋_GB2312" w:cs="仿宋_GB2312"/>
          <w:kern w:val="0"/>
          <w:sz w:val="24"/>
          <w:szCs w:val="24"/>
          <w:lang w:val="en-US" w:eastAsia="zh-CN"/>
        </w:rPr>
        <w:t>8可溶性固形物</w:t>
      </w:r>
    </w:p>
    <w:tbl>
      <w:tblPr>
        <w:tblStyle w:val="8"/>
        <w:tblW w:w="8640" w:type="dxa"/>
        <w:tblInd w:w="0" w:type="dxa"/>
        <w:tblBorders>
          <w:top w:val="single" w:color="auto" w:sz="12"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13"/>
        <w:gridCol w:w="1347"/>
        <w:gridCol w:w="675"/>
        <w:gridCol w:w="1485"/>
        <w:gridCol w:w="743"/>
        <w:gridCol w:w="1417"/>
        <w:gridCol w:w="758"/>
        <w:gridCol w:w="1402"/>
      </w:tblGrid>
      <w:tr w14:paraId="366E132F">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blHeader/>
        </w:trPr>
        <w:tc>
          <w:tcPr>
            <w:tcW w:w="813" w:type="dxa"/>
            <w:tcBorders>
              <w:bottom w:val="single" w:color="auto" w:sz="4" w:space="0"/>
            </w:tcBorders>
            <w:shd w:val="clear" w:color="auto" w:fill="auto"/>
            <w:noWrap/>
            <w:vAlign w:val="center"/>
          </w:tcPr>
          <w:p w14:paraId="50222C4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347" w:type="dxa"/>
            <w:tcBorders>
              <w:bottom w:val="single" w:color="auto" w:sz="4" w:space="0"/>
            </w:tcBorders>
            <w:shd w:val="clear" w:color="auto" w:fill="auto"/>
            <w:noWrap/>
            <w:vAlign w:val="center"/>
          </w:tcPr>
          <w:p w14:paraId="3545CE9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可溶性固形物/%</w:t>
            </w:r>
          </w:p>
        </w:tc>
        <w:tc>
          <w:tcPr>
            <w:tcW w:w="675" w:type="dxa"/>
            <w:tcBorders>
              <w:bottom w:val="single" w:color="auto" w:sz="4" w:space="0"/>
            </w:tcBorders>
            <w:shd w:val="clear" w:color="auto" w:fill="auto"/>
            <w:noWrap/>
            <w:vAlign w:val="center"/>
          </w:tcPr>
          <w:p w14:paraId="19BA7D8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85" w:type="dxa"/>
            <w:tcBorders>
              <w:bottom w:val="single" w:color="auto" w:sz="4" w:space="0"/>
            </w:tcBorders>
            <w:shd w:val="clear" w:color="auto" w:fill="auto"/>
            <w:noWrap/>
            <w:vAlign w:val="center"/>
          </w:tcPr>
          <w:p w14:paraId="74DBAFD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可溶性固形物/%</w:t>
            </w:r>
          </w:p>
        </w:tc>
        <w:tc>
          <w:tcPr>
            <w:tcW w:w="743" w:type="dxa"/>
            <w:tcBorders>
              <w:bottom w:val="single" w:color="auto" w:sz="4" w:space="0"/>
            </w:tcBorders>
            <w:shd w:val="clear" w:color="auto" w:fill="auto"/>
            <w:noWrap/>
            <w:vAlign w:val="center"/>
          </w:tcPr>
          <w:p w14:paraId="3EB87AF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17" w:type="dxa"/>
            <w:tcBorders>
              <w:bottom w:val="single" w:color="auto" w:sz="4" w:space="0"/>
            </w:tcBorders>
            <w:shd w:val="clear" w:color="auto" w:fill="auto"/>
            <w:noWrap/>
            <w:vAlign w:val="center"/>
          </w:tcPr>
          <w:p w14:paraId="6B7400B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可溶性固形物/%</w:t>
            </w:r>
          </w:p>
        </w:tc>
        <w:tc>
          <w:tcPr>
            <w:tcW w:w="758" w:type="dxa"/>
            <w:tcBorders>
              <w:bottom w:val="single" w:color="auto" w:sz="4" w:space="0"/>
            </w:tcBorders>
            <w:shd w:val="clear" w:color="auto" w:fill="auto"/>
            <w:noWrap/>
            <w:vAlign w:val="center"/>
          </w:tcPr>
          <w:p w14:paraId="1E0F60F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样品序号</w:t>
            </w:r>
          </w:p>
        </w:tc>
        <w:tc>
          <w:tcPr>
            <w:tcW w:w="1402" w:type="dxa"/>
            <w:tcBorders>
              <w:bottom w:val="single" w:color="auto" w:sz="4" w:space="0"/>
            </w:tcBorders>
            <w:shd w:val="clear" w:color="auto" w:fill="auto"/>
            <w:noWrap/>
            <w:vAlign w:val="center"/>
          </w:tcPr>
          <w:p w14:paraId="23FB8E81">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可溶性固形物/%</w:t>
            </w:r>
          </w:p>
        </w:tc>
      </w:tr>
      <w:tr w14:paraId="2BA9DCCA">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tcBorders>
              <w:top w:val="single" w:color="auto" w:sz="4" w:space="0"/>
              <w:bottom w:val="nil"/>
            </w:tcBorders>
            <w:shd w:val="clear" w:color="auto" w:fill="auto"/>
            <w:noWrap/>
            <w:vAlign w:val="center"/>
          </w:tcPr>
          <w:p w14:paraId="2569256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w:t>
            </w:r>
          </w:p>
        </w:tc>
        <w:tc>
          <w:tcPr>
            <w:tcW w:w="1347" w:type="dxa"/>
            <w:tcBorders>
              <w:top w:val="single" w:color="auto" w:sz="4" w:space="0"/>
              <w:bottom w:val="nil"/>
            </w:tcBorders>
            <w:shd w:val="clear" w:color="auto" w:fill="auto"/>
            <w:noWrap/>
            <w:vAlign w:val="center"/>
          </w:tcPr>
          <w:p w14:paraId="337A7CF8">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6.4</w:t>
            </w:r>
          </w:p>
        </w:tc>
        <w:tc>
          <w:tcPr>
            <w:tcW w:w="675" w:type="dxa"/>
            <w:tcBorders>
              <w:top w:val="single" w:color="auto" w:sz="4" w:space="0"/>
              <w:bottom w:val="nil"/>
            </w:tcBorders>
            <w:shd w:val="clear" w:color="auto" w:fill="auto"/>
            <w:noWrap/>
            <w:vAlign w:val="center"/>
          </w:tcPr>
          <w:p w14:paraId="7C3A1FD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8</w:t>
            </w:r>
          </w:p>
        </w:tc>
        <w:tc>
          <w:tcPr>
            <w:tcW w:w="1485" w:type="dxa"/>
            <w:tcBorders>
              <w:top w:val="single" w:color="auto" w:sz="4" w:space="0"/>
              <w:bottom w:val="nil"/>
            </w:tcBorders>
            <w:shd w:val="clear" w:color="auto" w:fill="auto"/>
            <w:noWrap/>
            <w:vAlign w:val="center"/>
          </w:tcPr>
          <w:p w14:paraId="1CCB7B74">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6.9</w:t>
            </w:r>
          </w:p>
        </w:tc>
        <w:tc>
          <w:tcPr>
            <w:tcW w:w="743" w:type="dxa"/>
            <w:tcBorders>
              <w:top w:val="single" w:color="auto" w:sz="4" w:space="0"/>
              <w:bottom w:val="nil"/>
            </w:tcBorders>
            <w:shd w:val="clear" w:color="auto" w:fill="auto"/>
            <w:noWrap/>
            <w:vAlign w:val="center"/>
          </w:tcPr>
          <w:p w14:paraId="05E4E3EF">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15</w:t>
            </w:r>
          </w:p>
        </w:tc>
        <w:tc>
          <w:tcPr>
            <w:tcW w:w="1417" w:type="dxa"/>
            <w:tcBorders>
              <w:top w:val="single" w:color="auto" w:sz="4" w:space="0"/>
              <w:bottom w:val="nil"/>
            </w:tcBorders>
            <w:shd w:val="clear" w:color="auto" w:fill="auto"/>
            <w:noWrap/>
            <w:vAlign w:val="center"/>
          </w:tcPr>
          <w:p w14:paraId="3586CF63">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5.6</w:t>
            </w:r>
          </w:p>
        </w:tc>
        <w:tc>
          <w:tcPr>
            <w:tcW w:w="758" w:type="dxa"/>
            <w:tcBorders>
              <w:top w:val="single" w:color="auto" w:sz="4" w:space="0"/>
              <w:bottom w:val="nil"/>
            </w:tcBorders>
            <w:shd w:val="clear" w:color="auto" w:fill="auto"/>
            <w:noWrap/>
            <w:vAlign w:val="center"/>
          </w:tcPr>
          <w:p w14:paraId="65CBBEC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22</w:t>
            </w:r>
          </w:p>
        </w:tc>
        <w:tc>
          <w:tcPr>
            <w:tcW w:w="1402" w:type="dxa"/>
            <w:tcBorders>
              <w:top w:val="single" w:color="auto" w:sz="4" w:space="0"/>
              <w:bottom w:val="nil"/>
            </w:tcBorders>
            <w:shd w:val="clear" w:color="auto" w:fill="auto"/>
            <w:noWrap/>
            <w:vAlign w:val="center"/>
          </w:tcPr>
          <w:p w14:paraId="70DB15BE">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6.6</w:t>
            </w:r>
          </w:p>
        </w:tc>
      </w:tr>
      <w:tr w14:paraId="1EF1059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tcBorders>
              <w:top w:val="nil"/>
            </w:tcBorders>
            <w:shd w:val="clear" w:color="auto" w:fill="auto"/>
            <w:noWrap/>
            <w:vAlign w:val="center"/>
          </w:tcPr>
          <w:p w14:paraId="6B150D78">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w:t>
            </w:r>
          </w:p>
        </w:tc>
        <w:tc>
          <w:tcPr>
            <w:tcW w:w="1347" w:type="dxa"/>
            <w:tcBorders>
              <w:top w:val="nil"/>
            </w:tcBorders>
            <w:shd w:val="clear" w:color="auto" w:fill="auto"/>
            <w:noWrap/>
            <w:vAlign w:val="center"/>
          </w:tcPr>
          <w:p w14:paraId="42359B72">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6.6</w:t>
            </w:r>
          </w:p>
        </w:tc>
        <w:tc>
          <w:tcPr>
            <w:tcW w:w="675" w:type="dxa"/>
            <w:tcBorders>
              <w:top w:val="nil"/>
            </w:tcBorders>
            <w:shd w:val="clear" w:color="auto" w:fill="auto"/>
            <w:noWrap/>
            <w:vAlign w:val="center"/>
          </w:tcPr>
          <w:p w14:paraId="448E7CC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9</w:t>
            </w:r>
          </w:p>
        </w:tc>
        <w:tc>
          <w:tcPr>
            <w:tcW w:w="1485" w:type="dxa"/>
            <w:tcBorders>
              <w:top w:val="nil"/>
            </w:tcBorders>
            <w:shd w:val="clear" w:color="auto" w:fill="auto"/>
            <w:noWrap/>
            <w:vAlign w:val="center"/>
          </w:tcPr>
          <w:p w14:paraId="1A7D255B">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6.5</w:t>
            </w:r>
          </w:p>
        </w:tc>
        <w:tc>
          <w:tcPr>
            <w:tcW w:w="743" w:type="dxa"/>
            <w:tcBorders>
              <w:top w:val="nil"/>
            </w:tcBorders>
            <w:shd w:val="clear" w:color="auto" w:fill="auto"/>
            <w:noWrap/>
            <w:vAlign w:val="center"/>
          </w:tcPr>
          <w:p w14:paraId="5226BA6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16</w:t>
            </w:r>
          </w:p>
        </w:tc>
        <w:tc>
          <w:tcPr>
            <w:tcW w:w="1417" w:type="dxa"/>
            <w:tcBorders>
              <w:top w:val="nil"/>
            </w:tcBorders>
            <w:shd w:val="clear" w:color="auto" w:fill="auto"/>
            <w:noWrap/>
            <w:vAlign w:val="center"/>
          </w:tcPr>
          <w:p w14:paraId="7DB3450E">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5.7</w:t>
            </w:r>
          </w:p>
        </w:tc>
        <w:tc>
          <w:tcPr>
            <w:tcW w:w="758" w:type="dxa"/>
            <w:tcBorders>
              <w:top w:val="nil"/>
            </w:tcBorders>
            <w:shd w:val="clear" w:color="auto" w:fill="auto"/>
            <w:noWrap/>
            <w:vAlign w:val="center"/>
          </w:tcPr>
          <w:p w14:paraId="00E07143">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23</w:t>
            </w:r>
          </w:p>
        </w:tc>
        <w:tc>
          <w:tcPr>
            <w:tcW w:w="1402" w:type="dxa"/>
            <w:tcBorders>
              <w:top w:val="nil"/>
            </w:tcBorders>
            <w:shd w:val="clear" w:color="auto" w:fill="auto"/>
            <w:noWrap/>
            <w:vAlign w:val="center"/>
          </w:tcPr>
          <w:p w14:paraId="36B6BC55">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5.4</w:t>
            </w:r>
          </w:p>
        </w:tc>
      </w:tr>
      <w:tr w14:paraId="0C7E53D4">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722438F6">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3</w:t>
            </w:r>
          </w:p>
        </w:tc>
        <w:tc>
          <w:tcPr>
            <w:tcW w:w="1347" w:type="dxa"/>
            <w:shd w:val="clear" w:color="auto" w:fill="auto"/>
            <w:noWrap/>
            <w:vAlign w:val="center"/>
          </w:tcPr>
          <w:p w14:paraId="0FA22610">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6.2</w:t>
            </w:r>
          </w:p>
        </w:tc>
        <w:tc>
          <w:tcPr>
            <w:tcW w:w="675" w:type="dxa"/>
            <w:shd w:val="clear" w:color="auto" w:fill="auto"/>
            <w:noWrap/>
            <w:vAlign w:val="center"/>
          </w:tcPr>
          <w:p w14:paraId="24A2AD9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10</w:t>
            </w:r>
          </w:p>
        </w:tc>
        <w:tc>
          <w:tcPr>
            <w:tcW w:w="1485" w:type="dxa"/>
            <w:shd w:val="clear" w:color="auto" w:fill="auto"/>
            <w:noWrap/>
            <w:vAlign w:val="center"/>
          </w:tcPr>
          <w:p w14:paraId="19D19828">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6.5</w:t>
            </w:r>
          </w:p>
        </w:tc>
        <w:tc>
          <w:tcPr>
            <w:tcW w:w="743" w:type="dxa"/>
            <w:shd w:val="clear" w:color="auto" w:fill="auto"/>
            <w:noWrap/>
            <w:vAlign w:val="center"/>
          </w:tcPr>
          <w:p w14:paraId="11E55CAB">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17</w:t>
            </w:r>
          </w:p>
        </w:tc>
        <w:tc>
          <w:tcPr>
            <w:tcW w:w="1417" w:type="dxa"/>
            <w:shd w:val="clear" w:color="auto" w:fill="auto"/>
            <w:noWrap/>
            <w:vAlign w:val="center"/>
          </w:tcPr>
          <w:p w14:paraId="03C2DED9">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5.8</w:t>
            </w:r>
          </w:p>
        </w:tc>
        <w:tc>
          <w:tcPr>
            <w:tcW w:w="758" w:type="dxa"/>
            <w:shd w:val="clear" w:color="auto" w:fill="auto"/>
            <w:noWrap/>
            <w:vAlign w:val="center"/>
          </w:tcPr>
          <w:p w14:paraId="0D03A90D">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24</w:t>
            </w:r>
          </w:p>
        </w:tc>
        <w:tc>
          <w:tcPr>
            <w:tcW w:w="1402" w:type="dxa"/>
            <w:shd w:val="clear" w:color="auto" w:fill="auto"/>
            <w:noWrap/>
            <w:vAlign w:val="center"/>
          </w:tcPr>
          <w:p w14:paraId="49D776E6">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5.1</w:t>
            </w:r>
          </w:p>
        </w:tc>
      </w:tr>
      <w:tr w14:paraId="0532EC83">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77179DC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4</w:t>
            </w:r>
          </w:p>
        </w:tc>
        <w:tc>
          <w:tcPr>
            <w:tcW w:w="1347" w:type="dxa"/>
            <w:shd w:val="clear" w:color="auto" w:fill="auto"/>
            <w:noWrap/>
            <w:vAlign w:val="center"/>
          </w:tcPr>
          <w:p w14:paraId="728A27E2">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6.2</w:t>
            </w:r>
          </w:p>
        </w:tc>
        <w:tc>
          <w:tcPr>
            <w:tcW w:w="675" w:type="dxa"/>
            <w:shd w:val="clear" w:color="auto" w:fill="auto"/>
            <w:noWrap/>
            <w:vAlign w:val="center"/>
          </w:tcPr>
          <w:p w14:paraId="4D60EE94">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11</w:t>
            </w:r>
          </w:p>
        </w:tc>
        <w:tc>
          <w:tcPr>
            <w:tcW w:w="1485" w:type="dxa"/>
            <w:shd w:val="clear" w:color="auto" w:fill="auto"/>
            <w:noWrap/>
            <w:vAlign w:val="center"/>
          </w:tcPr>
          <w:p w14:paraId="481EB602">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6.2</w:t>
            </w:r>
          </w:p>
        </w:tc>
        <w:tc>
          <w:tcPr>
            <w:tcW w:w="743" w:type="dxa"/>
            <w:shd w:val="clear" w:color="auto" w:fill="auto"/>
            <w:noWrap/>
            <w:vAlign w:val="center"/>
          </w:tcPr>
          <w:p w14:paraId="54F8AB27">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18</w:t>
            </w:r>
          </w:p>
        </w:tc>
        <w:tc>
          <w:tcPr>
            <w:tcW w:w="1417" w:type="dxa"/>
            <w:shd w:val="clear" w:color="auto" w:fill="auto"/>
            <w:noWrap/>
            <w:vAlign w:val="center"/>
          </w:tcPr>
          <w:p w14:paraId="7AAC42B3">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6.2</w:t>
            </w:r>
          </w:p>
        </w:tc>
        <w:tc>
          <w:tcPr>
            <w:tcW w:w="758" w:type="dxa"/>
            <w:shd w:val="clear" w:color="auto" w:fill="auto"/>
            <w:noWrap/>
            <w:vAlign w:val="center"/>
          </w:tcPr>
          <w:p w14:paraId="4956407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25</w:t>
            </w:r>
          </w:p>
        </w:tc>
        <w:tc>
          <w:tcPr>
            <w:tcW w:w="1402" w:type="dxa"/>
            <w:shd w:val="clear" w:color="auto" w:fill="auto"/>
            <w:noWrap/>
            <w:vAlign w:val="center"/>
          </w:tcPr>
          <w:p w14:paraId="23D3E787">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6.1</w:t>
            </w:r>
          </w:p>
        </w:tc>
      </w:tr>
      <w:tr w14:paraId="72979E51">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3BC9DF7E">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5</w:t>
            </w:r>
          </w:p>
        </w:tc>
        <w:tc>
          <w:tcPr>
            <w:tcW w:w="1347" w:type="dxa"/>
            <w:shd w:val="clear" w:color="auto" w:fill="auto"/>
            <w:noWrap/>
            <w:vAlign w:val="center"/>
          </w:tcPr>
          <w:p w14:paraId="0922DDD4">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6.2</w:t>
            </w:r>
          </w:p>
        </w:tc>
        <w:tc>
          <w:tcPr>
            <w:tcW w:w="675" w:type="dxa"/>
            <w:shd w:val="clear" w:color="auto" w:fill="auto"/>
            <w:noWrap/>
            <w:vAlign w:val="center"/>
          </w:tcPr>
          <w:p w14:paraId="384E26F2">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12</w:t>
            </w:r>
          </w:p>
        </w:tc>
        <w:tc>
          <w:tcPr>
            <w:tcW w:w="1485" w:type="dxa"/>
            <w:shd w:val="clear" w:color="auto" w:fill="auto"/>
            <w:noWrap/>
            <w:vAlign w:val="center"/>
          </w:tcPr>
          <w:p w14:paraId="4D903B90">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5.4</w:t>
            </w:r>
          </w:p>
        </w:tc>
        <w:tc>
          <w:tcPr>
            <w:tcW w:w="743" w:type="dxa"/>
            <w:shd w:val="clear" w:color="auto" w:fill="auto"/>
            <w:noWrap/>
            <w:vAlign w:val="center"/>
          </w:tcPr>
          <w:p w14:paraId="46DA9930">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19</w:t>
            </w:r>
          </w:p>
        </w:tc>
        <w:tc>
          <w:tcPr>
            <w:tcW w:w="1417" w:type="dxa"/>
            <w:shd w:val="clear" w:color="auto" w:fill="auto"/>
            <w:noWrap/>
            <w:vAlign w:val="center"/>
          </w:tcPr>
          <w:p w14:paraId="37DEEB94">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6.7</w:t>
            </w:r>
          </w:p>
        </w:tc>
        <w:tc>
          <w:tcPr>
            <w:tcW w:w="758" w:type="dxa"/>
            <w:shd w:val="clear" w:color="auto" w:fill="auto"/>
            <w:noWrap/>
            <w:vAlign w:val="center"/>
          </w:tcPr>
          <w:p w14:paraId="6C888CA3">
            <w:pPr>
              <w:keepNext w:val="0"/>
              <w:keepLines w:val="0"/>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p>
        </w:tc>
        <w:tc>
          <w:tcPr>
            <w:tcW w:w="1402" w:type="dxa"/>
            <w:shd w:val="clear" w:color="auto" w:fill="auto"/>
            <w:noWrap/>
            <w:vAlign w:val="center"/>
          </w:tcPr>
          <w:p w14:paraId="545257CB">
            <w:pPr>
              <w:keepNext w:val="0"/>
              <w:keepLines w:val="0"/>
              <w:suppressLineNumbers w:val="0"/>
              <w:spacing w:before="0" w:beforeAutospacing="0" w:after="0" w:afterAutospacing="0"/>
              <w:ind w:left="0" w:right="0"/>
              <w:jc w:val="center"/>
              <w:rPr>
                <w:rFonts w:hint="eastAsia" w:asciiTheme="minorEastAsia" w:hAnsiTheme="minorEastAsia" w:cstheme="minorEastAsia"/>
                <w:kern w:val="0"/>
                <w:sz w:val="18"/>
                <w:szCs w:val="18"/>
              </w:rPr>
            </w:pPr>
          </w:p>
        </w:tc>
      </w:tr>
      <w:tr w14:paraId="369A8244">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7C881A0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6</w:t>
            </w:r>
          </w:p>
        </w:tc>
        <w:tc>
          <w:tcPr>
            <w:tcW w:w="1347" w:type="dxa"/>
            <w:shd w:val="clear" w:color="auto" w:fill="auto"/>
            <w:noWrap/>
            <w:vAlign w:val="center"/>
          </w:tcPr>
          <w:p w14:paraId="2CFDC4B6">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5.9</w:t>
            </w:r>
          </w:p>
        </w:tc>
        <w:tc>
          <w:tcPr>
            <w:tcW w:w="675" w:type="dxa"/>
            <w:shd w:val="clear" w:color="auto" w:fill="auto"/>
            <w:noWrap/>
            <w:vAlign w:val="center"/>
          </w:tcPr>
          <w:p w14:paraId="5F01E86A">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13</w:t>
            </w:r>
          </w:p>
        </w:tc>
        <w:tc>
          <w:tcPr>
            <w:tcW w:w="1485" w:type="dxa"/>
            <w:shd w:val="clear" w:color="auto" w:fill="auto"/>
            <w:noWrap/>
            <w:vAlign w:val="center"/>
          </w:tcPr>
          <w:p w14:paraId="5D53622F">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6.2</w:t>
            </w:r>
          </w:p>
        </w:tc>
        <w:tc>
          <w:tcPr>
            <w:tcW w:w="743" w:type="dxa"/>
            <w:shd w:val="clear" w:color="auto" w:fill="auto"/>
            <w:noWrap/>
            <w:vAlign w:val="center"/>
          </w:tcPr>
          <w:p w14:paraId="01CD7AE9">
            <w:pPr>
              <w:keepNext w:val="0"/>
              <w:keepLines w:val="0"/>
              <w:widowControl/>
              <w:suppressLineNumbers w:val="0"/>
              <w:spacing w:before="0" w:beforeAutospacing="0" w:after="0" w:afterAutospacing="0"/>
              <w:ind w:left="0" w:right="0"/>
              <w:jc w:val="center"/>
              <w:textAlignment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lang w:bidi="ar"/>
              </w:rPr>
              <w:t>20</w:t>
            </w:r>
          </w:p>
        </w:tc>
        <w:tc>
          <w:tcPr>
            <w:tcW w:w="1417" w:type="dxa"/>
            <w:shd w:val="clear" w:color="auto" w:fill="auto"/>
            <w:noWrap/>
            <w:vAlign w:val="center"/>
          </w:tcPr>
          <w:p w14:paraId="28AE1E94">
            <w:pPr>
              <w:keepNext w:val="0"/>
              <w:keepLines w:val="0"/>
              <w:widowControl/>
              <w:suppressLineNumbers w:val="0"/>
              <w:spacing w:before="0" w:beforeAutospacing="0" w:after="0" w:afterAutospacing="0"/>
              <w:ind w:left="0" w:right="0"/>
              <w:jc w:val="center"/>
              <w:textAlignment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6.1</w:t>
            </w:r>
          </w:p>
        </w:tc>
        <w:tc>
          <w:tcPr>
            <w:tcW w:w="758" w:type="dxa"/>
            <w:shd w:val="clear" w:color="auto" w:fill="auto"/>
            <w:noWrap/>
            <w:vAlign w:val="center"/>
          </w:tcPr>
          <w:p w14:paraId="62B8499E">
            <w:pPr>
              <w:keepNext w:val="0"/>
              <w:keepLines w:val="0"/>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p>
        </w:tc>
        <w:tc>
          <w:tcPr>
            <w:tcW w:w="1402" w:type="dxa"/>
            <w:shd w:val="clear" w:color="auto" w:fill="auto"/>
            <w:noWrap/>
            <w:vAlign w:val="center"/>
          </w:tcPr>
          <w:p w14:paraId="58AC0C78">
            <w:pPr>
              <w:keepNext w:val="0"/>
              <w:keepLines w:val="0"/>
              <w:suppressLineNumbers w:val="0"/>
              <w:spacing w:before="0" w:beforeAutospacing="0" w:after="0" w:afterAutospacing="0"/>
              <w:ind w:left="0" w:right="0"/>
              <w:jc w:val="center"/>
              <w:rPr>
                <w:rFonts w:hint="eastAsia" w:asciiTheme="minorEastAsia" w:hAnsiTheme="minorEastAsia" w:cstheme="minorEastAsia"/>
                <w:kern w:val="0"/>
                <w:sz w:val="18"/>
                <w:szCs w:val="18"/>
              </w:rPr>
            </w:pPr>
          </w:p>
        </w:tc>
      </w:tr>
      <w:tr w14:paraId="54454447">
        <w:tblPrEx>
          <w:tblBorders>
            <w:top w:val="single" w:color="auto" w:sz="12"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813" w:type="dxa"/>
            <w:shd w:val="clear" w:color="auto" w:fill="auto"/>
            <w:noWrap/>
            <w:vAlign w:val="center"/>
          </w:tcPr>
          <w:p w14:paraId="1F5D9B3D">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rPr>
              <w:t>7</w:t>
            </w:r>
          </w:p>
        </w:tc>
        <w:tc>
          <w:tcPr>
            <w:tcW w:w="1347" w:type="dxa"/>
            <w:shd w:val="clear" w:color="auto" w:fill="auto"/>
            <w:noWrap/>
            <w:vAlign w:val="center"/>
          </w:tcPr>
          <w:p w14:paraId="67B358B2">
            <w:pPr>
              <w:keepNext w:val="0"/>
              <w:keepLines w:val="0"/>
              <w:widowControl/>
              <w:suppressLineNumbers w:val="0"/>
              <w:spacing w:before="0" w:beforeAutospacing="0" w:after="0" w:afterAutospacing="0"/>
              <w:ind w:left="0" w:right="0"/>
              <w:jc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6.0</w:t>
            </w:r>
          </w:p>
        </w:tc>
        <w:tc>
          <w:tcPr>
            <w:tcW w:w="675" w:type="dxa"/>
            <w:shd w:val="clear" w:color="auto" w:fill="auto"/>
            <w:noWrap/>
            <w:vAlign w:val="center"/>
          </w:tcPr>
          <w:p w14:paraId="461D476B">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rPr>
              <w:t>14</w:t>
            </w:r>
          </w:p>
        </w:tc>
        <w:tc>
          <w:tcPr>
            <w:tcW w:w="1485" w:type="dxa"/>
            <w:shd w:val="clear" w:color="auto" w:fill="auto"/>
            <w:noWrap/>
            <w:vAlign w:val="center"/>
          </w:tcPr>
          <w:p w14:paraId="045A325B">
            <w:pPr>
              <w:keepNext w:val="0"/>
              <w:keepLines w:val="0"/>
              <w:widowControl/>
              <w:suppressLineNumbers w:val="0"/>
              <w:spacing w:before="0" w:beforeAutospacing="0" w:after="0" w:afterAutospacing="0"/>
              <w:ind w:left="0" w:right="0"/>
              <w:jc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5.8</w:t>
            </w:r>
          </w:p>
        </w:tc>
        <w:tc>
          <w:tcPr>
            <w:tcW w:w="743" w:type="dxa"/>
            <w:shd w:val="clear" w:color="auto" w:fill="auto"/>
            <w:noWrap/>
            <w:vAlign w:val="center"/>
          </w:tcPr>
          <w:p w14:paraId="585BD77B">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r>
              <w:rPr>
                <w:rFonts w:hint="eastAsia" w:asciiTheme="minorEastAsia" w:hAnsiTheme="minorEastAsia" w:cstheme="minorEastAsia"/>
                <w:color w:val="000000"/>
                <w:kern w:val="0"/>
                <w:sz w:val="18"/>
                <w:szCs w:val="18"/>
              </w:rPr>
              <w:t>21</w:t>
            </w:r>
          </w:p>
        </w:tc>
        <w:tc>
          <w:tcPr>
            <w:tcW w:w="1417" w:type="dxa"/>
            <w:shd w:val="clear" w:color="auto" w:fill="auto"/>
            <w:noWrap/>
            <w:vAlign w:val="center"/>
          </w:tcPr>
          <w:p w14:paraId="458E4111">
            <w:pPr>
              <w:keepNext w:val="0"/>
              <w:keepLines w:val="0"/>
              <w:widowControl/>
              <w:suppressLineNumbers w:val="0"/>
              <w:spacing w:before="0" w:beforeAutospacing="0" w:after="0" w:afterAutospacing="0"/>
              <w:ind w:left="0" w:right="0"/>
              <w:jc w:val="center"/>
              <w:rPr>
                <w:rFonts w:hint="default" w:asciiTheme="minorEastAsia" w:hAnsiTheme="minorEastAsia" w:eastAsiaTheme="minorEastAsia" w:cstheme="minorEastAsia"/>
                <w:color w:val="000000"/>
                <w:kern w:val="0"/>
                <w:sz w:val="18"/>
                <w:szCs w:val="18"/>
                <w:lang w:val="en-US" w:eastAsia="zh-CN"/>
              </w:rPr>
            </w:pPr>
            <w:r>
              <w:rPr>
                <w:rFonts w:hint="eastAsia" w:asciiTheme="minorEastAsia" w:hAnsiTheme="minorEastAsia" w:cstheme="minorEastAsia"/>
                <w:color w:val="000000"/>
                <w:kern w:val="0"/>
                <w:sz w:val="18"/>
                <w:szCs w:val="18"/>
                <w:lang w:val="en-US" w:eastAsia="zh-CN"/>
              </w:rPr>
              <w:t>5.7</w:t>
            </w:r>
          </w:p>
        </w:tc>
        <w:tc>
          <w:tcPr>
            <w:tcW w:w="758" w:type="dxa"/>
            <w:shd w:val="clear" w:color="auto" w:fill="auto"/>
            <w:noWrap/>
            <w:vAlign w:val="center"/>
          </w:tcPr>
          <w:p w14:paraId="49CEE351">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color w:val="000000"/>
                <w:kern w:val="0"/>
                <w:sz w:val="18"/>
                <w:szCs w:val="18"/>
              </w:rPr>
            </w:pPr>
          </w:p>
        </w:tc>
        <w:tc>
          <w:tcPr>
            <w:tcW w:w="1402" w:type="dxa"/>
            <w:shd w:val="clear" w:color="auto" w:fill="auto"/>
            <w:noWrap/>
            <w:vAlign w:val="center"/>
          </w:tcPr>
          <w:p w14:paraId="6F0BC6AF">
            <w:pPr>
              <w:keepNext w:val="0"/>
              <w:keepLines w:val="0"/>
              <w:widowControl/>
              <w:suppressLineNumbers w:val="0"/>
              <w:spacing w:before="0" w:beforeAutospacing="0" w:after="0" w:afterAutospacing="0"/>
              <w:ind w:left="0" w:right="0"/>
              <w:jc w:val="center"/>
              <w:rPr>
                <w:rFonts w:hint="eastAsia" w:asciiTheme="minorEastAsia" w:hAnsiTheme="minorEastAsia" w:cstheme="minorEastAsia"/>
                <w:kern w:val="0"/>
                <w:sz w:val="18"/>
                <w:szCs w:val="18"/>
              </w:rPr>
            </w:pPr>
          </w:p>
        </w:tc>
      </w:tr>
    </w:tbl>
    <w:p w14:paraId="206FC04C">
      <w:pPr>
        <w:pStyle w:val="13"/>
        <w:numPr>
          <w:ilvl w:val="0"/>
          <w:numId w:val="0"/>
        </w:numPr>
        <w:spacing w:line="560" w:lineRule="exact"/>
        <w:ind w:left="640" w:leftChars="0"/>
        <w:outlineLvl w:val="1"/>
        <w:rPr>
          <w:rFonts w:eastAsia="仿宋_GB2312"/>
        </w:rPr>
      </w:pPr>
    </w:p>
    <w:p w14:paraId="5BAB1BAE">
      <w:pPr>
        <w:pStyle w:val="13"/>
        <w:numPr>
          <w:ilvl w:val="0"/>
          <w:numId w:val="4"/>
        </w:numPr>
        <w:spacing w:line="560" w:lineRule="exact"/>
        <w:outlineLvl w:val="1"/>
        <w:rPr>
          <w:rFonts w:eastAsia="仿宋_GB2312"/>
        </w:rPr>
      </w:pPr>
      <w:r>
        <w:rPr>
          <w:rFonts w:hint="eastAsia" w:eastAsia="仿宋_GB2312"/>
        </w:rPr>
        <w:t>可食率</w:t>
      </w:r>
    </w:p>
    <w:p w14:paraId="579187F8">
      <w:pPr>
        <w:pStyle w:val="13"/>
        <w:snapToGrid w:val="0"/>
        <w:spacing w:line="560" w:lineRule="exact"/>
        <w:ind w:firstLine="640" w:firstLineChars="200"/>
        <w:jc w:val="left"/>
        <w:outlineLvl w:val="1"/>
        <w:rPr>
          <w:rFonts w:eastAsia="仿宋_GB2312"/>
        </w:rPr>
      </w:pPr>
      <w:r>
        <w:rPr>
          <w:rFonts w:hint="eastAsia" w:eastAsia="仿宋_GB2312"/>
        </w:rPr>
        <w:t>可</w:t>
      </w:r>
      <w:r>
        <w:rPr>
          <w:rFonts w:hint="eastAsia" w:eastAsia="仿宋_GB2312"/>
          <w:color w:val="auto"/>
        </w:rPr>
        <w:t>食率是反映竹笋老嫩程度的一个重要指标，根据表2显示随着竹笋的生长，其露节数量增多，其可食用率也随之降低。根据全部检测样品情况可食率数值范围在39%</w:t>
      </w:r>
      <w:r>
        <w:rPr>
          <w:rFonts w:hint="eastAsia" w:eastAsia="仿宋_GB2312"/>
          <w:color w:val="auto"/>
          <w:lang w:eastAsia="zh-CN"/>
        </w:rPr>
        <w:t>～</w:t>
      </w:r>
      <w:r>
        <w:rPr>
          <w:rFonts w:hint="eastAsia" w:eastAsia="仿宋_GB2312"/>
          <w:color w:val="auto"/>
        </w:rPr>
        <w:t>69.3%，≥40%的有161个样品，≥50%的有80个样品，≥60%的有19个样品，为保证大部分竹笋既有适宜的可食用率，又符合</w:t>
      </w:r>
      <w:r>
        <w:rPr>
          <w:rFonts w:hint="eastAsia" w:eastAsia="仿宋_GB2312"/>
          <w:bCs/>
          <w:color w:val="auto"/>
        </w:rPr>
        <w:t>本标准要求，经与相关企业讨论确定可食用率≥40%的要求。</w:t>
      </w:r>
    </w:p>
    <w:p w14:paraId="7DEB1EED">
      <w:pPr>
        <w:pStyle w:val="13"/>
        <w:numPr>
          <w:ilvl w:val="0"/>
          <w:numId w:val="4"/>
        </w:numPr>
        <w:spacing w:line="560" w:lineRule="exact"/>
        <w:outlineLvl w:val="1"/>
        <w:rPr>
          <w:rFonts w:eastAsia="仿宋_GB2312"/>
        </w:rPr>
      </w:pPr>
      <w:r>
        <w:rPr>
          <w:rFonts w:hint="eastAsia" w:eastAsia="仿宋_GB2312"/>
        </w:rPr>
        <w:t>含水率</w:t>
      </w:r>
    </w:p>
    <w:p w14:paraId="08224B70">
      <w:pPr>
        <w:pStyle w:val="13"/>
        <w:spacing w:line="560" w:lineRule="exact"/>
        <w:ind w:firstLine="601" w:firstLineChars="188"/>
        <w:jc w:val="left"/>
        <w:outlineLvl w:val="1"/>
        <w:rPr>
          <w:rFonts w:eastAsia="仿宋_GB2312"/>
        </w:rPr>
      </w:pPr>
      <w:r>
        <w:rPr>
          <w:rFonts w:hint="eastAsia" w:eastAsia="仿宋_GB2312"/>
          <w:color w:val="auto"/>
        </w:rPr>
        <w:t>含水率是反映竹笋老嫩的一个重要指标，随着其生长木质化程度增加，含水率下降。同时含水率也是反映竹笋新鲜程度的重要指标，随着存放时间的延长，竹笋失水老化，严重影响其品质。</w:t>
      </w:r>
      <w:r>
        <w:rPr>
          <w:rFonts w:hint="eastAsia" w:eastAsia="仿宋_GB2312"/>
          <w:color w:val="auto"/>
          <w:lang w:val="en-US" w:eastAsia="zh-CN"/>
        </w:rPr>
        <w:t>其中</w:t>
      </w:r>
      <w:r>
        <w:rPr>
          <w:rFonts w:hint="eastAsia" w:eastAsia="仿宋_GB2312"/>
          <w:color w:val="auto"/>
        </w:rPr>
        <w:t>DB4452/T 1--2021地理标志产品 埔田竹笋</w:t>
      </w:r>
      <w:r>
        <w:rPr>
          <w:rFonts w:hint="eastAsia" w:eastAsia="仿宋_GB2312"/>
          <w:color w:val="auto"/>
          <w:lang w:val="en-US" w:eastAsia="zh-CN"/>
        </w:rPr>
        <w:t>规定鲜笋的含水量85%～95%间。</w:t>
      </w:r>
      <w:r>
        <w:rPr>
          <w:rFonts w:hint="eastAsia" w:eastAsia="仿宋_GB2312"/>
          <w:color w:val="auto"/>
        </w:rPr>
        <w:t>根据样品检测结果可知所有竹笋含水率≥92.3</w:t>
      </w:r>
      <w:r>
        <w:rPr>
          <w:rFonts w:eastAsia="仿宋_GB2312"/>
          <w:color w:val="auto"/>
        </w:rPr>
        <w:t>%</w:t>
      </w:r>
      <w:r>
        <w:rPr>
          <w:rFonts w:hint="eastAsia" w:eastAsia="仿宋_GB2312"/>
        </w:rPr>
        <w:t>，考虑到运输过程会对测试结果产生一定的影响，同时</w:t>
      </w:r>
      <w:r>
        <w:rPr>
          <w:rFonts w:hint="eastAsia" w:eastAsia="仿宋_GB2312"/>
          <w:bCs/>
        </w:rPr>
        <w:t>经与相关企业讨论确定</w:t>
      </w:r>
      <w:r>
        <w:rPr>
          <w:rFonts w:hint="eastAsia" w:eastAsia="仿宋_GB2312"/>
        </w:rPr>
        <w:t>含水率指标为≥90</w:t>
      </w:r>
      <w:r>
        <w:rPr>
          <w:rFonts w:eastAsia="仿宋_GB2312"/>
        </w:rPr>
        <w:t>%</w:t>
      </w:r>
      <w:r>
        <w:rPr>
          <w:rFonts w:hint="eastAsia" w:eastAsia="仿宋_GB2312"/>
        </w:rPr>
        <w:t>。</w:t>
      </w:r>
    </w:p>
    <w:p w14:paraId="5C58694F">
      <w:pPr>
        <w:pStyle w:val="13"/>
        <w:numPr>
          <w:ilvl w:val="0"/>
          <w:numId w:val="4"/>
        </w:numPr>
        <w:spacing w:line="560" w:lineRule="exact"/>
        <w:outlineLvl w:val="1"/>
        <w:rPr>
          <w:rFonts w:eastAsia="仿宋_GB2312"/>
        </w:rPr>
      </w:pPr>
      <w:r>
        <w:rPr>
          <w:rFonts w:hint="eastAsia" w:eastAsia="仿宋_GB2312"/>
        </w:rPr>
        <w:t>粗纤维</w:t>
      </w:r>
    </w:p>
    <w:p w14:paraId="47526F71">
      <w:pPr>
        <w:pStyle w:val="13"/>
        <w:spacing w:line="560" w:lineRule="exact"/>
        <w:ind w:firstLine="640" w:firstLineChars="200"/>
        <w:outlineLvl w:val="1"/>
        <w:rPr>
          <w:rFonts w:hint="eastAsia" w:eastAsia="仿宋_GB2312"/>
        </w:rPr>
      </w:pPr>
      <w:r>
        <w:rPr>
          <w:rFonts w:eastAsia="仿宋_GB2312"/>
          <w:color w:val="auto"/>
        </w:rPr>
        <w:t>粗纤维</w:t>
      </w:r>
      <w:r>
        <w:rPr>
          <w:rFonts w:hint="eastAsia" w:eastAsia="仿宋_GB2312"/>
          <w:color w:val="auto"/>
        </w:rPr>
        <w:t>主要影响竹笋的口感，</w:t>
      </w:r>
      <w:r>
        <w:rPr>
          <w:rFonts w:eastAsia="仿宋_GB2312"/>
          <w:color w:val="auto"/>
        </w:rPr>
        <w:t>含量过高会导致竹笋质地粗糙，</w:t>
      </w:r>
      <w:r>
        <w:rPr>
          <w:rFonts w:hint="eastAsia" w:eastAsia="仿宋_GB2312"/>
          <w:color w:val="auto"/>
        </w:rPr>
        <w:t>失去脆嫩的口感</w:t>
      </w:r>
      <w:r>
        <w:rPr>
          <w:rFonts w:eastAsia="仿宋_GB2312"/>
          <w:color w:val="auto"/>
        </w:rPr>
        <w:t>，降低食用体验</w:t>
      </w:r>
      <w:r>
        <w:rPr>
          <w:rFonts w:hint="eastAsia" w:eastAsia="仿宋_GB2312"/>
          <w:color w:val="auto"/>
        </w:rPr>
        <w:t>。通过检测数据可知所有竹笋的粗纤维含量在0.6%～1.2%。</w:t>
      </w:r>
      <w:r>
        <w:rPr>
          <w:rFonts w:hint="eastAsia" w:eastAsia="仿宋_GB2312"/>
          <w:color w:val="auto"/>
          <w:lang w:val="en-US" w:eastAsia="zh-CN"/>
        </w:rPr>
        <w:t>同时参考</w:t>
      </w:r>
      <w:r>
        <w:rPr>
          <w:rFonts w:hint="eastAsia" w:eastAsia="仿宋_GB2312"/>
          <w:color w:val="auto"/>
        </w:rPr>
        <w:t>DB35/T 1006 地理标志产品 尤溪绿竹笋</w:t>
      </w:r>
      <w:r>
        <w:rPr>
          <w:rFonts w:hint="eastAsia" w:eastAsia="仿宋_GB2312"/>
          <w:color w:val="auto"/>
          <w:lang w:eastAsia="zh-CN"/>
        </w:rPr>
        <w:t>、</w:t>
      </w:r>
      <w:r>
        <w:rPr>
          <w:rFonts w:hint="eastAsia" w:eastAsia="仿宋_GB2312"/>
          <w:color w:val="auto"/>
        </w:rPr>
        <w:t>DB42/T 1518-2019</w:t>
      </w:r>
      <w:r>
        <w:rPr>
          <w:rFonts w:hint="eastAsia" w:eastAsia="仿宋_GB2312"/>
          <w:color w:val="auto"/>
          <w:lang w:val="en-US" w:eastAsia="zh-CN"/>
        </w:rPr>
        <w:t xml:space="preserve"> </w:t>
      </w:r>
      <w:r>
        <w:rPr>
          <w:rFonts w:hint="eastAsia" w:eastAsia="仿宋_GB2312"/>
          <w:color w:val="auto"/>
        </w:rPr>
        <w:t>地理标志产品 崇阳雷竹笋</w:t>
      </w:r>
      <w:r>
        <w:rPr>
          <w:rFonts w:hint="eastAsia" w:eastAsia="仿宋_GB2312"/>
          <w:color w:val="auto"/>
          <w:lang w:eastAsia="zh-CN"/>
        </w:rPr>
        <w:t>、</w:t>
      </w:r>
      <w:r>
        <w:rPr>
          <w:rFonts w:hint="eastAsia" w:eastAsia="仿宋_GB2312"/>
          <w:color w:val="auto"/>
        </w:rPr>
        <w:t>DB45/T 905-2019地理标志产品 八渡笋</w:t>
      </w:r>
      <w:r>
        <w:rPr>
          <w:rFonts w:hint="eastAsia" w:eastAsia="仿宋_GB2312"/>
          <w:color w:val="auto"/>
          <w:lang w:eastAsia="zh-CN"/>
        </w:rPr>
        <w:t>、</w:t>
      </w:r>
      <w:r>
        <w:rPr>
          <w:rFonts w:hint="eastAsia" w:eastAsia="仿宋_GB2312"/>
          <w:color w:val="auto"/>
        </w:rPr>
        <w:t>DB52/T 1228-2017地理标志产品 桐梓方竹笋</w:t>
      </w:r>
      <w:r>
        <w:rPr>
          <w:rFonts w:hint="eastAsia" w:eastAsia="仿宋_GB2312"/>
          <w:color w:val="auto"/>
          <w:lang w:eastAsia="zh-CN"/>
        </w:rPr>
        <w:t>、</w:t>
      </w:r>
      <w:r>
        <w:rPr>
          <w:rFonts w:hint="eastAsia" w:eastAsia="仿宋_GB2312"/>
          <w:color w:val="auto"/>
        </w:rPr>
        <w:t>DB4452/T 1--2021地理标志产品 埔田竹笋</w:t>
      </w:r>
      <w:r>
        <w:rPr>
          <w:rFonts w:hint="eastAsia" w:eastAsia="仿宋_GB2312"/>
          <w:color w:val="auto"/>
          <w:lang w:val="en-US" w:eastAsia="zh-CN"/>
        </w:rPr>
        <w:t>规定的粗纤维≤1.2</w:t>
      </w:r>
      <w:r>
        <w:rPr>
          <w:rFonts w:hint="eastAsia" w:eastAsia="仿宋_GB2312"/>
          <w:color w:val="auto"/>
          <w:lang w:eastAsia="zh-CN"/>
        </w:rPr>
        <w:t>，</w:t>
      </w:r>
      <w:r>
        <w:rPr>
          <w:rFonts w:hint="eastAsia" w:eastAsia="仿宋_GB2312"/>
          <w:color w:val="auto"/>
        </w:rPr>
        <w:t>因此，</w:t>
      </w:r>
      <w:r>
        <w:rPr>
          <w:rFonts w:hint="eastAsia" w:ascii="仿宋_GB2312" w:eastAsia="仿宋_GB2312"/>
          <w:bCs/>
          <w:color w:val="auto"/>
        </w:rPr>
        <w:t>考虑到影响</w:t>
      </w:r>
      <w:r>
        <w:rPr>
          <w:rFonts w:ascii="仿宋_GB2312" w:eastAsia="仿宋_GB2312"/>
          <w:bCs/>
          <w:color w:val="auto"/>
        </w:rPr>
        <w:t>南宁老友粉</w:t>
      </w:r>
      <w:r>
        <w:rPr>
          <w:rFonts w:hint="eastAsia" w:ascii="仿宋_GB2312" w:eastAsia="仿宋_GB2312"/>
          <w:bCs/>
          <w:color w:val="auto"/>
        </w:rPr>
        <w:t>竹笋的使用要求，同时经与相关企业讨论</w:t>
      </w:r>
      <w:r>
        <w:rPr>
          <w:rFonts w:hint="eastAsia" w:eastAsia="仿宋_GB2312"/>
          <w:color w:val="auto"/>
        </w:rPr>
        <w:t>将</w:t>
      </w:r>
      <w:r>
        <w:rPr>
          <w:rFonts w:hint="eastAsia" w:eastAsia="仿宋_GB2312"/>
        </w:rPr>
        <w:t>粗纤维的含量规定为</w:t>
      </w:r>
      <w:r>
        <w:rPr>
          <w:rFonts w:hint="eastAsia" w:ascii="Cambria Math" w:hAnsi="Cambria Math" w:eastAsia="仿宋_GB2312" w:cs="Cambria Math"/>
        </w:rPr>
        <w:t>≤</w:t>
      </w:r>
      <w:r>
        <w:rPr>
          <w:rFonts w:hint="eastAsia" w:eastAsia="仿宋_GB2312"/>
        </w:rPr>
        <w:t>1.2%。</w:t>
      </w:r>
    </w:p>
    <w:p w14:paraId="494A8305">
      <w:pPr>
        <w:pStyle w:val="13"/>
        <w:spacing w:line="560" w:lineRule="exact"/>
        <w:ind w:firstLine="640" w:firstLineChars="200"/>
        <w:outlineLvl w:val="1"/>
        <w:rPr>
          <w:rFonts w:hint="eastAsia" w:eastAsia="仿宋_GB2312"/>
          <w:lang w:val="en-US" w:eastAsia="zh-CN"/>
        </w:rPr>
      </w:pPr>
      <w:r>
        <w:rPr>
          <w:rFonts w:hint="eastAsia" w:eastAsia="仿宋_GB2312"/>
          <w:lang w:val="en-US" w:eastAsia="zh-CN"/>
        </w:rPr>
        <w:t>4.可溶性固形物</w:t>
      </w:r>
    </w:p>
    <w:p w14:paraId="3FBF43AC">
      <w:pPr>
        <w:pStyle w:val="13"/>
        <w:spacing w:line="560" w:lineRule="exact"/>
        <w:ind w:firstLine="640" w:firstLineChars="200"/>
        <w:outlineLvl w:val="1"/>
        <w:rPr>
          <w:rFonts w:hint="default" w:eastAsia="仿宋_GB2312"/>
          <w:lang w:val="en-US" w:eastAsia="zh-CN"/>
        </w:rPr>
      </w:pPr>
      <w:r>
        <w:rPr>
          <w:rFonts w:hint="eastAsia" w:eastAsia="仿宋_GB2312"/>
          <w:lang w:val="en-US" w:eastAsia="zh-CN"/>
        </w:rPr>
        <w:t>从</w:t>
      </w:r>
      <w:r>
        <w:rPr>
          <w:rFonts w:hint="default" w:eastAsia="仿宋_GB2312"/>
          <w:lang w:val="en-US" w:eastAsia="zh-CN"/>
        </w:rPr>
        <w:t>南宁范围内东西南北中五个方向比较有代表性的基地</w:t>
      </w:r>
      <w:r>
        <w:rPr>
          <w:rFonts w:hint="eastAsia" w:eastAsia="仿宋_GB2312"/>
          <w:lang w:val="en-US" w:eastAsia="zh-CN"/>
        </w:rPr>
        <w:t>抽取了麻竹</w:t>
      </w:r>
      <w:r>
        <w:rPr>
          <w:rFonts w:hint="default" w:eastAsia="仿宋_GB2312"/>
          <w:lang w:val="en-US" w:eastAsia="zh-CN"/>
        </w:rPr>
        <w:t>的数据</w:t>
      </w:r>
      <w:r>
        <w:rPr>
          <w:rFonts w:hint="eastAsia" w:eastAsia="仿宋_GB2312"/>
          <w:lang w:val="en-US" w:eastAsia="zh-CN"/>
        </w:rPr>
        <w:t>。</w:t>
      </w:r>
      <w:r>
        <w:rPr>
          <w:rFonts w:hint="default" w:eastAsia="仿宋_GB2312"/>
          <w:lang w:val="en-US" w:eastAsia="zh-CN"/>
        </w:rPr>
        <w:t>可溶性固形物含量是衡量竹笋品质的重要指标。可溶性固形物主要包括糖分、氨基酸、维生素、可溶性蛋白质等水溶性物质</w:t>
      </w:r>
      <w:r>
        <w:rPr>
          <w:rFonts w:hint="eastAsia" w:eastAsia="仿宋_GB2312"/>
          <w:lang w:val="en-US" w:eastAsia="zh-CN"/>
        </w:rPr>
        <w:t>，酸笋的发酵过程主要依靠乳酸菌。乳酸菌需要“食物”来生长和产酸，而这些“食物”主要就来源于鲜笋中的可溶性固形物，尤其是糖分。</w:t>
      </w:r>
      <w:r>
        <w:rPr>
          <w:rFonts w:hint="default" w:eastAsia="仿宋_GB2312"/>
          <w:lang w:val="en-US" w:eastAsia="zh-CN"/>
        </w:rPr>
        <w:t>含量高意味着鲜笋营养丰富，底物充足。乳酸菌有充足的“燃料”，发酵会更为充分、迅速，产酸量足，最终形成的酸笋酸味纯正、浓郁，风味物质（如酯类）也更丰富，香气更足。南宁老友粉的魅力在于其稳定、独特的“酸香鲜辣”风味，而酸笋是这一风味的灵魂。通过检测可溶性固形物含量，收购方可以建立一个客观的、可量化的质量标准</w:t>
      </w:r>
      <w:r>
        <w:rPr>
          <w:rFonts w:hint="eastAsia" w:eastAsia="仿宋_GB2312"/>
          <w:lang w:val="en-US" w:eastAsia="zh-CN"/>
        </w:rPr>
        <w:t>，从源头控制原料品质，才能保证大规模生产下，每一批酸笋都能达到相似的风味和酸度，从而确保每一碗老友粉的味道都稳定可靠。经与企业协商确定为 5.0% - 7.0%，下限值大于5.0，相比DB35/T 1006 地理标志产品 尤溪绿竹笋的3.5% -6.0% 下限值高40%，定为5%确保竹笋有足够的糖分（可溶性固形物主要成分）作为乳酸菌的“食物”，从而顺利发酵产酸，形成独特的酸香。糖分过低可能导致发酵缓慢、酸味不足或风味寡淡。上限（&lt;7.0）：防止糖分过高。糖分过高的笋，在发酵过程中可能产酸过快、过猛，导致酸味过于尖锐，掩盖“清香”，甚至因为发酵过度而失去“脆嫩”口感，变得软烂。同时，过高的初始糖分也可能导致成品酸笋残留甜味过重，与老友粉的酸辣主题不协调。</w:t>
      </w:r>
    </w:p>
    <w:p w14:paraId="6A7BB960">
      <w:pPr>
        <w:ind w:firstLine="643"/>
        <w:outlineLvl w:val="1"/>
        <w:rPr>
          <w:rFonts w:hint="eastAsia" w:ascii="Times New Roman" w:hAnsi="Times New Roman" w:eastAsia="仿宋_GB2312" w:cstheme="minorBidi"/>
          <w:kern w:val="2"/>
          <w:sz w:val="32"/>
          <w:szCs w:val="32"/>
          <w:lang w:val="en-US" w:eastAsia="zh-CN" w:bidi="ar-SA"/>
        </w:rPr>
      </w:pPr>
      <w:r>
        <w:rPr>
          <w:rFonts w:hint="eastAsia" w:ascii="Times New Roman" w:hAnsi="Times New Roman" w:eastAsia="仿宋_GB2312" w:cstheme="minorBidi"/>
          <w:kern w:val="2"/>
          <w:sz w:val="32"/>
          <w:szCs w:val="32"/>
          <w:lang w:val="en-US" w:eastAsia="zh-CN" w:bidi="ar-SA"/>
        </w:rPr>
        <w:t>其他标准规定指标</w:t>
      </w:r>
    </w:p>
    <w:p w14:paraId="145EAE37">
      <w:pPr>
        <w:pStyle w:val="13"/>
        <w:spacing w:line="560" w:lineRule="exact"/>
        <w:ind w:firstLine="640" w:firstLineChars="200"/>
        <w:outlineLvl w:val="1"/>
        <w:rPr>
          <w:rFonts w:eastAsia="仿宋_GB2312"/>
        </w:rPr>
      </w:pPr>
      <w:r>
        <w:drawing>
          <wp:anchor distT="0" distB="0" distL="114300" distR="114300" simplePos="0" relativeHeight="251668480" behindDoc="0" locked="0" layoutInCell="1" allowOverlap="1">
            <wp:simplePos x="0" y="0"/>
            <wp:positionH relativeFrom="column">
              <wp:posOffset>-609600</wp:posOffset>
            </wp:positionH>
            <wp:positionV relativeFrom="paragraph">
              <wp:posOffset>227330</wp:posOffset>
            </wp:positionV>
            <wp:extent cx="7158355" cy="2779395"/>
            <wp:effectExtent l="0" t="0" r="9525" b="5715"/>
            <wp:wrapTopAndBottom/>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8"/>
                    <a:stretch>
                      <a:fillRect/>
                    </a:stretch>
                  </pic:blipFill>
                  <pic:spPr>
                    <a:xfrm>
                      <a:off x="0" y="0"/>
                      <a:ext cx="7158355" cy="2779395"/>
                    </a:xfrm>
                    <a:prstGeom prst="rect">
                      <a:avLst/>
                    </a:prstGeom>
                    <a:noFill/>
                    <a:ln>
                      <a:noFill/>
                    </a:ln>
                  </pic:spPr>
                </pic:pic>
              </a:graphicData>
            </a:graphic>
          </wp:anchor>
        </w:drawing>
      </w:r>
      <w:r>
        <w:rPr>
          <w:rFonts w:hint="eastAsia" w:eastAsia="仿宋_GB2312"/>
        </w:rPr>
        <w:t>竹笋农药残留要求：应符合</w:t>
      </w:r>
      <w:r>
        <w:rPr>
          <w:rFonts w:eastAsia="仿宋_GB2312"/>
        </w:rPr>
        <w:t>GB 2763</w:t>
      </w:r>
      <w:r>
        <w:rPr>
          <w:rFonts w:hint="eastAsia" w:eastAsia="仿宋_GB2312"/>
        </w:rPr>
        <w:t>的规定。</w:t>
      </w:r>
    </w:p>
    <w:p w14:paraId="02EC41A9">
      <w:pPr>
        <w:pStyle w:val="13"/>
        <w:spacing w:line="560" w:lineRule="exact"/>
        <w:ind w:firstLine="640" w:firstLineChars="200"/>
        <w:outlineLvl w:val="1"/>
        <w:rPr>
          <w:rFonts w:eastAsia="仿宋_GB2312"/>
        </w:rPr>
      </w:pPr>
      <w:r>
        <w:rPr>
          <w:rFonts w:hint="eastAsia" w:eastAsia="仿宋_GB2312"/>
        </w:rPr>
        <w:t>竹笋污染物要求：应符合</w:t>
      </w:r>
      <w:r>
        <w:rPr>
          <w:rFonts w:eastAsia="仿宋_GB2312"/>
        </w:rPr>
        <w:t>GB 2762</w:t>
      </w:r>
      <w:r>
        <w:rPr>
          <w:rFonts w:hint="eastAsia" w:eastAsia="仿宋_GB2312"/>
        </w:rPr>
        <w:t>的规定。</w:t>
      </w:r>
    </w:p>
    <w:p w14:paraId="22C8ED7C">
      <w:pPr>
        <w:ind w:firstLine="643"/>
        <w:outlineLvl w:val="1"/>
        <w:rPr>
          <w:rFonts w:ascii="仿宋_GB2312" w:eastAsia="仿宋_GB2312"/>
          <w:b/>
          <w:bCs/>
          <w:sz w:val="32"/>
          <w:szCs w:val="32"/>
        </w:rPr>
      </w:pPr>
      <w:r>
        <w:rPr>
          <w:rFonts w:hint="eastAsia" w:ascii="仿宋_GB2312" w:eastAsia="仿宋_GB2312"/>
          <w:b/>
          <w:bCs/>
          <w:sz w:val="32"/>
          <w:szCs w:val="32"/>
        </w:rPr>
        <w:t>（五）检验方法</w:t>
      </w:r>
    </w:p>
    <w:p w14:paraId="00A11E6A">
      <w:pPr>
        <w:pStyle w:val="13"/>
        <w:spacing w:line="560" w:lineRule="exact"/>
        <w:ind w:firstLine="640" w:firstLineChars="200"/>
        <w:rPr>
          <w:rFonts w:hint="eastAsia" w:ascii="仿宋_GB2312" w:eastAsia="仿宋_GB2312"/>
          <w:bCs/>
          <w:lang w:eastAsia="zh-CN"/>
        </w:rPr>
      </w:pPr>
      <w:r>
        <w:rPr>
          <w:rFonts w:hint="eastAsia" w:ascii="仿宋_GB2312" w:eastAsia="仿宋_GB2312"/>
          <w:bCs/>
          <w:lang w:eastAsia="zh-CN"/>
        </w:rPr>
        <w:drawing>
          <wp:anchor distT="0" distB="0" distL="114300" distR="114300" simplePos="0" relativeHeight="251671552" behindDoc="0" locked="0" layoutInCell="1" allowOverlap="1">
            <wp:simplePos x="0" y="0"/>
            <wp:positionH relativeFrom="column">
              <wp:posOffset>549910</wp:posOffset>
            </wp:positionH>
            <wp:positionV relativeFrom="paragraph">
              <wp:posOffset>1217930</wp:posOffset>
            </wp:positionV>
            <wp:extent cx="4086225" cy="1247775"/>
            <wp:effectExtent l="0" t="0" r="9525" b="9525"/>
            <wp:wrapTopAndBottom/>
            <wp:docPr id="13" name="图片 13" descr="1d29a74d08292c87a0fca9a160a4b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d29a74d08292c87a0fca9a160a4b597"/>
                    <pic:cNvPicPr>
                      <a:picLocks noChangeAspect="1"/>
                    </pic:cNvPicPr>
                  </pic:nvPicPr>
                  <pic:blipFill>
                    <a:blip r:embed="rId19"/>
                    <a:stretch>
                      <a:fillRect/>
                    </a:stretch>
                  </pic:blipFill>
                  <pic:spPr>
                    <a:xfrm>
                      <a:off x="0" y="0"/>
                      <a:ext cx="4086225" cy="1247775"/>
                    </a:xfrm>
                    <a:prstGeom prst="rect">
                      <a:avLst/>
                    </a:prstGeom>
                  </pic:spPr>
                </pic:pic>
              </a:graphicData>
            </a:graphic>
          </wp:anchor>
        </w:drawing>
      </w:r>
      <w:r>
        <w:rPr>
          <w:rFonts w:hint="eastAsia" w:ascii="仿宋_GB2312" w:eastAsia="仿宋_GB2312"/>
          <w:bCs/>
        </w:rPr>
        <w:t>检测方法主要根据南宁老友粉原料竹笋的竹笋质量分级、感官和理化指标的要求，分别依据相应检验方法及相关检测标准执行。可溶性固形物按GB/T 10786规定的方法测定</w:t>
      </w:r>
      <w:r>
        <w:rPr>
          <w:rFonts w:hint="eastAsia" w:ascii="仿宋_GB2312" w:eastAsia="仿宋_GB2312"/>
          <w:bCs/>
          <w:lang w:eastAsia="zh-CN"/>
        </w:rPr>
        <w:t>。</w:t>
      </w:r>
    </w:p>
    <w:p w14:paraId="5B211C28">
      <w:pPr>
        <w:pStyle w:val="13"/>
        <w:spacing w:line="560" w:lineRule="exact"/>
        <w:ind w:firstLine="640" w:firstLineChars="200"/>
        <w:rPr>
          <w:rFonts w:hint="eastAsia" w:ascii="仿宋_GB2312" w:eastAsia="仿宋_GB2312"/>
          <w:bCs/>
        </w:rPr>
      </w:pPr>
    </w:p>
    <w:p w14:paraId="67B6AAEA">
      <w:pPr>
        <w:pStyle w:val="13"/>
        <w:spacing w:after="0" w:line="560" w:lineRule="exact"/>
        <w:ind w:firstLine="643" w:firstLineChars="200"/>
        <w:outlineLvl w:val="1"/>
        <w:rPr>
          <w:rFonts w:ascii="仿宋_GB2312" w:eastAsia="仿宋_GB2312"/>
          <w:b/>
          <w:bCs/>
        </w:rPr>
      </w:pPr>
      <w:bookmarkStart w:id="1" w:name="_GoBack"/>
      <w:bookmarkEnd w:id="1"/>
      <w:r>
        <w:rPr>
          <w:rFonts w:hint="eastAsia" w:ascii="仿宋_GB2312" w:eastAsia="仿宋_GB2312"/>
          <w:b/>
          <w:bCs/>
        </w:rPr>
        <w:t>（六）检验规则</w:t>
      </w:r>
    </w:p>
    <w:p w14:paraId="718E38A9">
      <w:pPr>
        <w:pStyle w:val="13"/>
        <w:spacing w:after="0" w:line="560" w:lineRule="exact"/>
        <w:ind w:firstLine="640" w:firstLineChars="200"/>
        <w:rPr>
          <w:rFonts w:ascii="仿宋_GB2312" w:eastAsia="仿宋_GB2312"/>
          <w:bCs/>
        </w:rPr>
      </w:pPr>
      <w:r>
        <w:rPr>
          <w:rFonts w:hint="eastAsia" w:ascii="仿宋_GB2312" w:eastAsia="仿宋_GB2312"/>
          <w:bCs/>
        </w:rPr>
        <w:t>检验规则依据南宁老友粉原料竹笋产品生产实际确定，包括组批、抽样、交收检验、型式检验和判定规则。</w:t>
      </w:r>
    </w:p>
    <w:p w14:paraId="4E3F1610">
      <w:pPr>
        <w:pStyle w:val="13"/>
        <w:spacing w:after="0" w:line="560" w:lineRule="exact"/>
        <w:ind w:firstLine="643" w:firstLineChars="200"/>
        <w:outlineLvl w:val="1"/>
        <w:rPr>
          <w:rFonts w:ascii="仿宋_GB2312" w:eastAsia="仿宋_GB2312"/>
          <w:b/>
          <w:bCs/>
        </w:rPr>
      </w:pPr>
      <w:r>
        <w:rPr>
          <w:rFonts w:hint="eastAsia" w:ascii="仿宋_GB2312" w:eastAsia="仿宋_GB2312"/>
          <w:b/>
          <w:bCs/>
        </w:rPr>
        <w:t>（七）标签、标志、包装和运输</w:t>
      </w:r>
    </w:p>
    <w:p w14:paraId="008ACEDC">
      <w:pPr>
        <w:pStyle w:val="14"/>
        <w:ind w:firstLine="640"/>
        <w:rPr>
          <w:rFonts w:ascii="仿宋_GB2312" w:eastAsia="仿宋_GB2312" w:cstheme="minorBidi"/>
          <w:bCs/>
          <w:kern w:val="2"/>
          <w:sz w:val="32"/>
          <w:szCs w:val="32"/>
        </w:rPr>
      </w:pPr>
      <w:r>
        <w:rPr>
          <w:rFonts w:hint="eastAsia" w:ascii="仿宋_GB2312" w:eastAsia="仿宋_GB2312" w:cstheme="minorBidi"/>
          <w:bCs/>
          <w:kern w:val="2"/>
          <w:sz w:val="32"/>
          <w:szCs w:val="32"/>
        </w:rPr>
        <w:t xml:space="preserve">标志、标签、包装和运输主要依据多年来南宁老友粉原料竹笋生产实际和销售需求进行研讨确定。包装材料符合GB/T </w:t>
      </w:r>
      <w:r>
        <w:rPr>
          <w:rFonts w:hint="eastAsia" w:ascii="仿宋_GB2312" w:eastAsia="仿宋_GB2312" w:cstheme="minorBidi"/>
          <w:bCs/>
          <w:kern w:val="2"/>
          <w:sz w:val="32"/>
          <w:szCs w:val="32"/>
          <w:lang w:val="en-US" w:eastAsia="zh-CN"/>
        </w:rPr>
        <w:t>43284</w:t>
      </w:r>
      <w:r>
        <w:rPr>
          <w:rFonts w:hint="eastAsia" w:ascii="仿宋_GB2312" w:eastAsia="仿宋_GB2312" w:cstheme="minorBidi"/>
          <w:bCs/>
          <w:kern w:val="2"/>
          <w:sz w:val="32"/>
          <w:szCs w:val="32"/>
        </w:rPr>
        <w:t xml:space="preserve"> </w:t>
      </w:r>
      <w:r>
        <w:rPr>
          <w:rFonts w:hint="eastAsia" w:ascii="仿宋_GB2312" w:eastAsia="仿宋_GB2312" w:cstheme="minorBidi"/>
          <w:bCs/>
          <w:kern w:val="2"/>
          <w:sz w:val="32"/>
          <w:szCs w:val="32"/>
          <w:lang w:val="en-US" w:eastAsia="zh-CN"/>
        </w:rPr>
        <w:t>的</w:t>
      </w:r>
      <w:r>
        <w:rPr>
          <w:rFonts w:hint="eastAsia" w:ascii="仿宋_GB2312" w:eastAsia="仿宋_GB2312" w:cstheme="minorBidi"/>
          <w:bCs/>
          <w:kern w:val="2"/>
          <w:sz w:val="32"/>
          <w:szCs w:val="32"/>
        </w:rPr>
        <w:t>要求，包装储运图示标志应符合GB/T 191的规定。</w:t>
      </w:r>
    </w:p>
    <w:p w14:paraId="5479E6FC">
      <w:pPr>
        <w:numPr>
          <w:ilvl w:val="0"/>
          <w:numId w:val="2"/>
        </w:numPr>
        <w:overflowPunct w:val="0"/>
        <w:topLinePunct/>
        <w:spacing w:line="560" w:lineRule="exact"/>
        <w:ind w:firstLine="448" w:firstLineChars="140"/>
        <w:outlineLvl w:val="0"/>
        <w:rPr>
          <w:rFonts w:eastAsia="黑体"/>
          <w:bCs/>
          <w:sz w:val="32"/>
          <w:szCs w:val="32"/>
        </w:rPr>
      </w:pPr>
      <w:r>
        <w:rPr>
          <w:rFonts w:hint="eastAsia" w:eastAsia="黑体"/>
          <w:bCs/>
          <w:sz w:val="32"/>
          <w:szCs w:val="32"/>
        </w:rPr>
        <w:t>重大意见分歧的处理依据和结果</w:t>
      </w:r>
    </w:p>
    <w:p w14:paraId="639F2B16">
      <w:pPr>
        <w:overflowPunct w:val="0"/>
        <w:topLinePunct/>
        <w:spacing w:line="560" w:lineRule="exact"/>
        <w:ind w:firstLine="640"/>
        <w:rPr>
          <w:rFonts w:eastAsia="仿宋_GB2312"/>
          <w:sz w:val="32"/>
          <w:szCs w:val="32"/>
        </w:rPr>
      </w:pPr>
      <w:r>
        <w:rPr>
          <w:rFonts w:hint="eastAsia" w:eastAsia="仿宋_GB2312"/>
          <w:sz w:val="32"/>
          <w:szCs w:val="32"/>
        </w:rPr>
        <w:t>本标准研制过程中无重大分歧意见。</w:t>
      </w:r>
    </w:p>
    <w:p w14:paraId="6C44C727">
      <w:pPr>
        <w:numPr>
          <w:ilvl w:val="0"/>
          <w:numId w:val="2"/>
        </w:numPr>
        <w:overflowPunct w:val="0"/>
        <w:topLinePunct/>
        <w:spacing w:line="560" w:lineRule="exact"/>
        <w:ind w:left="600"/>
        <w:outlineLvl w:val="0"/>
        <w:rPr>
          <w:rFonts w:eastAsia="黑体"/>
          <w:bCs/>
          <w:sz w:val="32"/>
          <w:szCs w:val="32"/>
        </w:rPr>
      </w:pPr>
      <w:r>
        <w:rPr>
          <w:rFonts w:hint="eastAsia" w:eastAsia="黑体"/>
          <w:bCs/>
          <w:sz w:val="32"/>
          <w:szCs w:val="32"/>
        </w:rPr>
        <w:t>实施标准的措施</w:t>
      </w:r>
    </w:p>
    <w:p w14:paraId="25990D0B">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（一）标准报批发布后，成立标准宣贯工作组</w:t>
      </w:r>
    </w:p>
    <w:p w14:paraId="7B962BCB">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本标准发布后，成立以标准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4B1B11EB">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（二）组织开展标准宣贯培训</w:t>
      </w:r>
    </w:p>
    <w:p w14:paraId="688B31EB">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标准发布实施后，标准宣贯工作小组制作标准解读宣贯培训PPT课件和标准核心技术明白书，并按标准宣贯培训计划深入各市县南宁老友粉原料竹笋生产基地、加工企业等开展标准宣贯培训，对标准进行逐条解读，让南宁老友粉原料竹笋种植基地的管理人员和相关技术人员掌握标准核心技术内容，助力标准实施落地，推动南宁老友粉</w:t>
      </w:r>
      <w:r>
        <w:rPr>
          <w:rFonts w:ascii="仿宋_GB2312" w:eastAsia="仿宋_GB2312"/>
          <w:bCs/>
          <w:sz w:val="32"/>
          <w:szCs w:val="32"/>
        </w:rPr>
        <w:t>产业</w:t>
      </w:r>
      <w:r>
        <w:rPr>
          <w:rFonts w:hint="eastAsia" w:ascii="仿宋_GB2312" w:eastAsia="仿宋_GB2312"/>
          <w:bCs/>
          <w:sz w:val="32"/>
          <w:szCs w:val="32"/>
        </w:rPr>
        <w:t>高质量发展。</w:t>
      </w:r>
    </w:p>
    <w:p w14:paraId="3F070480">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（三）开展标准实施交流会，收集标准实施反馈信息</w:t>
      </w:r>
    </w:p>
    <w:p w14:paraId="0B446D35">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标准起草小组深入各市县南宁老友粉竹笋生产基地、加工企业的管理人员和相关技术人员召开标准实施交流会，听取标准实施过程中存在的问题并做好记录和解答，对存在的问题组织专家团队进行研讨，为标准的复审修订做准备。</w:t>
      </w:r>
    </w:p>
    <w:p w14:paraId="5B1E4166">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（四）开展标准实施效果评估</w:t>
      </w:r>
    </w:p>
    <w:p w14:paraId="32BFDA45">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05255858">
      <w:pPr>
        <w:numPr>
          <w:ilvl w:val="0"/>
          <w:numId w:val="2"/>
        </w:numPr>
        <w:overflowPunct w:val="0"/>
        <w:topLinePunct/>
        <w:spacing w:line="560" w:lineRule="exact"/>
        <w:ind w:left="600"/>
        <w:outlineLvl w:val="0"/>
        <w:rPr>
          <w:rFonts w:eastAsia="黑体"/>
          <w:bCs/>
          <w:sz w:val="32"/>
          <w:szCs w:val="32"/>
        </w:rPr>
      </w:pPr>
      <w:r>
        <w:rPr>
          <w:rFonts w:hint="eastAsia" w:eastAsia="黑体"/>
          <w:bCs/>
          <w:sz w:val="32"/>
          <w:szCs w:val="32"/>
        </w:rPr>
        <w:t>其他应当说明的事项</w:t>
      </w:r>
    </w:p>
    <w:p w14:paraId="04BAE231">
      <w:pPr>
        <w:spacing w:line="560" w:lineRule="exact"/>
        <w:ind w:firstLine="640" w:firstLineChars="200"/>
        <w:rPr>
          <w:rFonts w:ascii="仿宋_GB2312" w:eastAsia="仿宋_GB2312"/>
          <w:bCs/>
          <w:sz w:val="32"/>
          <w:szCs w:val="32"/>
        </w:rPr>
      </w:pPr>
      <w:r>
        <w:rPr>
          <w:rFonts w:hint="eastAsia" w:ascii="仿宋_GB2312" w:eastAsia="仿宋_GB2312"/>
          <w:bCs/>
          <w:sz w:val="32"/>
          <w:szCs w:val="32"/>
          <w:lang w:val="zh-CN"/>
        </w:rPr>
        <w:t>无。</w:t>
      </w:r>
    </w:p>
    <w:p w14:paraId="10842A73">
      <w:pPr>
        <w:overflowPunct w:val="0"/>
        <w:topLinePunct/>
        <w:spacing w:line="560" w:lineRule="exact"/>
        <w:ind w:firstLine="640"/>
        <w:rPr>
          <w:rFonts w:eastAsia="仿宋_GB2312"/>
          <w:sz w:val="32"/>
          <w:szCs w:val="32"/>
        </w:rPr>
      </w:pPr>
    </w:p>
    <w:p w14:paraId="395D3D8B">
      <w:pPr>
        <w:overflowPunct w:val="0"/>
        <w:topLinePunct/>
        <w:spacing w:line="560" w:lineRule="exact"/>
        <w:jc w:val="center"/>
        <w:rPr>
          <w:rFonts w:eastAsia="仿宋_GB2312"/>
          <w:sz w:val="32"/>
          <w:szCs w:val="32"/>
        </w:rPr>
      </w:pPr>
      <w:r>
        <w:rPr>
          <w:rFonts w:hint="eastAsia" w:eastAsia="仿宋_GB2312"/>
          <w:sz w:val="32"/>
          <w:szCs w:val="32"/>
        </w:rPr>
        <w:t xml:space="preserve">                 团体标准《南宁老友粉原料 竹笋》</w:t>
      </w:r>
    </w:p>
    <w:p w14:paraId="490EC713">
      <w:pPr>
        <w:overflowPunct w:val="0"/>
        <w:topLinePunct/>
        <w:spacing w:line="560" w:lineRule="exact"/>
        <w:jc w:val="center"/>
        <w:rPr>
          <w:rFonts w:eastAsia="仿宋_GB2312"/>
          <w:sz w:val="32"/>
          <w:szCs w:val="32"/>
        </w:rPr>
      </w:pPr>
      <w:r>
        <w:rPr>
          <w:rFonts w:hint="eastAsia" w:eastAsia="仿宋_GB2312"/>
          <w:sz w:val="32"/>
          <w:szCs w:val="32"/>
        </w:rPr>
        <w:t xml:space="preserve">                 标准编制工作组</w:t>
      </w:r>
    </w:p>
    <w:p w14:paraId="56F80BFA">
      <w:pPr>
        <w:overflowPunct w:val="0"/>
        <w:topLinePunct/>
        <w:jc w:val="center"/>
        <w:rPr>
          <w:rFonts w:hint="eastAsia" w:ascii="宋体" w:hAnsi="宋体"/>
          <w:b/>
          <w:bCs/>
          <w:sz w:val="30"/>
          <w:szCs w:val="30"/>
        </w:rPr>
      </w:pPr>
      <w:r>
        <w:rPr>
          <w:rFonts w:hint="eastAsia" w:eastAsia="仿宋_GB2312"/>
          <w:sz w:val="32"/>
          <w:szCs w:val="32"/>
        </w:rPr>
        <w:t xml:space="preserve">                  2025年</w:t>
      </w:r>
      <w:r>
        <w:rPr>
          <w:rFonts w:hint="eastAsia" w:eastAsia="仿宋_GB2312"/>
          <w:sz w:val="32"/>
          <w:szCs w:val="32"/>
          <w:lang w:val="en-US" w:eastAsia="zh-CN"/>
        </w:rPr>
        <w:t>9</w:t>
      </w:r>
      <w:r>
        <w:rPr>
          <w:rFonts w:hint="eastAsia" w:eastAsia="仿宋_GB2312"/>
          <w:sz w:val="32"/>
          <w:szCs w:val="32"/>
        </w:rPr>
        <w:t>月10日</w:t>
      </w:r>
    </w:p>
    <w:p w14:paraId="13E4A448">
      <w:pPr>
        <w:rPr>
          <w:rFonts w:hint="eastAsia" w:ascii="宋体" w:hAnsi="宋体"/>
          <w:b/>
          <w:bCs/>
          <w:sz w:val="30"/>
          <w:szCs w:val="30"/>
        </w:rPr>
      </w:pPr>
    </w:p>
    <w:sectPr>
      <w:type w:val="continuous"/>
      <w:pgSz w:w="11906" w:h="16838"/>
      <w:pgMar w:top="1474" w:right="1800" w:bottom="1474" w:left="147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DC66CDD9-C616-41A8-809B-4FA04E686E74}"/>
  </w:font>
  <w:font w:name="黑体">
    <w:panose1 w:val="02010609060101010101"/>
    <w:charset w:val="86"/>
    <w:family w:val="auto"/>
    <w:pitch w:val="default"/>
    <w:sig w:usb0="800002BF" w:usb1="38CF7CFA" w:usb2="00000016" w:usb3="00000000" w:csb0="00040001" w:csb1="00000000"/>
    <w:embedRegular r:id="rId2" w:fontKey="{7A95A382-1FDB-4B45-A705-C0F725152AF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633CC2A2-9D5C-4C03-8D2F-37094D4A1AAC}"/>
  </w:font>
  <w:font w:name="方正小标宋简体">
    <w:panose1 w:val="03000509000000000000"/>
    <w:charset w:val="86"/>
    <w:family w:val="auto"/>
    <w:pitch w:val="default"/>
    <w:sig w:usb0="00000001" w:usb1="080E0000" w:usb2="00000000" w:usb3="00000000" w:csb0="00040000" w:csb1="00000000"/>
    <w:embedRegular r:id="rId4" w:fontKey="{703A64AC-7F15-42F2-9DF2-D17E5A800956}"/>
  </w:font>
  <w:font w:name="仿宋_GB2312">
    <w:panose1 w:val="02010609030101010101"/>
    <w:charset w:val="86"/>
    <w:family w:val="modern"/>
    <w:pitch w:val="default"/>
    <w:sig w:usb0="00000001" w:usb1="080E0000" w:usb2="00000000" w:usb3="00000000" w:csb0="00040000" w:csb1="00000000"/>
    <w:embedRegular r:id="rId5" w:fontKey="{9F9351C5-6E75-41D3-AF0A-78A6CF69CF43}"/>
  </w:font>
  <w:font w:name="楷体">
    <w:panose1 w:val="02010609060101010101"/>
    <w:charset w:val="86"/>
    <w:family w:val="modern"/>
    <w:pitch w:val="default"/>
    <w:sig w:usb0="800002BF" w:usb1="38CF7CFA" w:usb2="00000016" w:usb3="00000000" w:csb0="00040001" w:csb1="00000000"/>
    <w:embedRegular r:id="rId6" w:fontKey="{F74E82B1-CC46-45F5-8265-C632823CDF27}"/>
  </w:font>
  <w:font w:name="楷体_GB2312">
    <w:panose1 w:val="02010609030101010101"/>
    <w:charset w:val="86"/>
    <w:family w:val="modern"/>
    <w:pitch w:val="default"/>
    <w:sig w:usb0="00000001" w:usb1="080E0000" w:usb2="00000000" w:usb3="00000000" w:csb0="00040000" w:csb1="00000000"/>
    <w:embedRegular r:id="rId7" w:fontKey="{548D7CEB-02FE-4862-9064-2A0AF63B72ED}"/>
  </w:font>
  <w:font w:name="Cambria Math">
    <w:panose1 w:val="02040503050406030204"/>
    <w:charset w:val="00"/>
    <w:family w:val="roman"/>
    <w:pitch w:val="default"/>
    <w:sig w:usb0="E00006FF" w:usb1="420024FF" w:usb2="02000000" w:usb3="00000000" w:csb0="2000019F" w:csb1="00000000"/>
    <w:embedRegular r:id="rId8" w:fontKey="{79F04B73-1037-464B-8FB0-0825BDB50FC8}"/>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3510058"/>
    </w:sdtPr>
    <w:sdtContent>
      <w:p w14:paraId="20D4D44D">
        <w:pPr>
          <w:pStyle w:val="5"/>
          <w:jc w:val="center"/>
        </w:pPr>
        <w:r>
          <w:fldChar w:fldCharType="begin"/>
        </w:r>
        <w:r>
          <w:instrText xml:space="preserve">PAGE   \* MERGEFORMAT</w:instrText>
        </w:r>
        <w:r>
          <w:fldChar w:fldCharType="separate"/>
        </w:r>
        <w:r>
          <w:rPr>
            <w:lang w:val="zh-CN"/>
          </w:rPr>
          <w:t>2</w:t>
        </w:r>
        <w:r>
          <w:fldChar w:fldCharType="end"/>
        </w:r>
      </w:p>
    </w:sdtContent>
  </w:sdt>
  <w:p w14:paraId="2D0CE4CC">
    <w:pPr>
      <w:pStyle w:val="5"/>
    </w:pPr>
  </w:p>
  <w:p w14:paraId="2C43443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A799BA">
    <w:pPr>
      <w:pStyle w:val="5"/>
    </w:pPr>
  </w:p>
  <w:p w14:paraId="7A51983A"/>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762E4D">
    <w:pPr>
      <w:pStyle w:val="6"/>
    </w:pPr>
  </w:p>
  <w:p w14:paraId="1A1EE2EA"/>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40CA90"/>
    <w:multiLevelType w:val="singleLevel"/>
    <w:tmpl w:val="9040CA90"/>
    <w:lvl w:ilvl="0" w:tentative="0">
      <w:start w:val="1"/>
      <w:numFmt w:val="chineseCounting"/>
      <w:suff w:val="nothing"/>
      <w:lvlText w:val="%1、"/>
      <w:lvlJc w:val="left"/>
      <w:pPr>
        <w:tabs>
          <w:tab w:val="left" w:pos="0"/>
        </w:tabs>
        <w:ind w:left="150"/>
      </w:pPr>
      <w:rPr>
        <w:rFonts w:hint="eastAsia"/>
      </w:rPr>
    </w:lvl>
  </w:abstractNum>
  <w:abstractNum w:abstractNumId="1">
    <w:nsid w:val="30AA3205"/>
    <w:multiLevelType w:val="multilevel"/>
    <w:tmpl w:val="30AA3205"/>
    <w:lvl w:ilvl="0" w:tentative="0">
      <w:start w:val="1"/>
      <w:numFmt w:val="decimal"/>
      <w:lvlText w:val="%1."/>
      <w:lvlJc w:val="left"/>
      <w:pPr>
        <w:ind w:left="1000" w:hanging="360"/>
      </w:pPr>
      <w:rPr>
        <w:rFonts w:hint="default"/>
      </w:rPr>
    </w:lvl>
    <w:lvl w:ilvl="1" w:tentative="0">
      <w:start w:val="1"/>
      <w:numFmt w:val="lowerLetter"/>
      <w:lvlText w:val="%2)"/>
      <w:lvlJc w:val="left"/>
      <w:pPr>
        <w:ind w:left="1520" w:hanging="440"/>
      </w:pPr>
    </w:lvl>
    <w:lvl w:ilvl="2" w:tentative="0">
      <w:start w:val="1"/>
      <w:numFmt w:val="lowerRoman"/>
      <w:lvlText w:val="%3."/>
      <w:lvlJc w:val="right"/>
      <w:pPr>
        <w:ind w:left="1960" w:hanging="440"/>
      </w:pPr>
    </w:lvl>
    <w:lvl w:ilvl="3" w:tentative="0">
      <w:start w:val="1"/>
      <w:numFmt w:val="decimal"/>
      <w:lvlText w:val="%4."/>
      <w:lvlJc w:val="left"/>
      <w:pPr>
        <w:ind w:left="2400" w:hanging="440"/>
      </w:pPr>
    </w:lvl>
    <w:lvl w:ilvl="4" w:tentative="0">
      <w:start w:val="1"/>
      <w:numFmt w:val="lowerLetter"/>
      <w:lvlText w:val="%5)"/>
      <w:lvlJc w:val="left"/>
      <w:pPr>
        <w:ind w:left="2840" w:hanging="440"/>
      </w:pPr>
    </w:lvl>
    <w:lvl w:ilvl="5" w:tentative="0">
      <w:start w:val="1"/>
      <w:numFmt w:val="lowerRoman"/>
      <w:lvlText w:val="%6."/>
      <w:lvlJc w:val="right"/>
      <w:pPr>
        <w:ind w:left="3280" w:hanging="440"/>
      </w:pPr>
    </w:lvl>
    <w:lvl w:ilvl="6" w:tentative="0">
      <w:start w:val="1"/>
      <w:numFmt w:val="decimal"/>
      <w:lvlText w:val="%7."/>
      <w:lvlJc w:val="left"/>
      <w:pPr>
        <w:ind w:left="3720" w:hanging="440"/>
      </w:pPr>
    </w:lvl>
    <w:lvl w:ilvl="7" w:tentative="0">
      <w:start w:val="1"/>
      <w:numFmt w:val="lowerLetter"/>
      <w:lvlText w:val="%8)"/>
      <w:lvlJc w:val="left"/>
      <w:pPr>
        <w:ind w:left="4160" w:hanging="440"/>
      </w:pPr>
    </w:lvl>
    <w:lvl w:ilvl="8" w:tentative="0">
      <w:start w:val="1"/>
      <w:numFmt w:val="lowerRoman"/>
      <w:lvlText w:val="%9."/>
      <w:lvlJc w:val="right"/>
      <w:pPr>
        <w:ind w:left="4600" w:hanging="440"/>
      </w:pPr>
    </w:lvl>
  </w:abstractNum>
  <w:abstractNum w:abstractNumId="2">
    <w:nsid w:val="4817A397"/>
    <w:multiLevelType w:val="singleLevel"/>
    <w:tmpl w:val="4817A397"/>
    <w:lvl w:ilvl="0" w:tentative="0">
      <w:start w:val="1"/>
      <w:numFmt w:val="chineseCounting"/>
      <w:suff w:val="nothing"/>
      <w:lvlText w:val="（%1）"/>
      <w:lvlJc w:val="left"/>
      <w:pPr>
        <w:ind w:left="300"/>
      </w:pPr>
      <w:rPr>
        <w:rFonts w:hint="eastAsia"/>
      </w:rPr>
    </w:lvl>
  </w:abstractNum>
  <w:abstractNum w:abstractNumId="3">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16"/>
      <w:suff w:val="nothing"/>
      <w:lvlText w:val="%1%2　"/>
      <w:lvlJc w:val="left"/>
      <w:pPr>
        <w:ind w:left="1277" w:firstLine="0"/>
      </w:pPr>
      <w:rPr>
        <w:rFonts w:hint="eastAsia" w:ascii="黑体" w:eastAsia="黑体"/>
        <w:b w:val="0"/>
        <w:i w:val="0"/>
        <w:sz w:val="21"/>
      </w:rPr>
    </w:lvl>
    <w:lvl w:ilvl="2" w:tentative="0">
      <w:start w:val="1"/>
      <w:numFmt w:val="decimal"/>
      <w:pStyle w:val="17"/>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30"/>
      <w:suff w:val="nothing"/>
      <w:lvlText w:val="%1%2.%3.%4　"/>
      <w:lvlJc w:val="left"/>
      <w:pPr>
        <w:ind w:left="567"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IwMWM2OGNjYmU4NTFlMTllYWNiZDQ3ZGI3OTk1MGMifQ=="/>
  </w:docVars>
  <w:rsids>
    <w:rsidRoot w:val="004B3BAA"/>
    <w:rsid w:val="000201E8"/>
    <w:rsid w:val="0002623B"/>
    <w:rsid w:val="0003164D"/>
    <w:rsid w:val="0005098D"/>
    <w:rsid w:val="00086C03"/>
    <w:rsid w:val="000874C3"/>
    <w:rsid w:val="000C07EA"/>
    <w:rsid w:val="000D046F"/>
    <w:rsid w:val="000E0009"/>
    <w:rsid w:val="000F7DFC"/>
    <w:rsid w:val="001220F8"/>
    <w:rsid w:val="0013492F"/>
    <w:rsid w:val="00134A0F"/>
    <w:rsid w:val="0016317C"/>
    <w:rsid w:val="00175F58"/>
    <w:rsid w:val="0018254B"/>
    <w:rsid w:val="001E64BD"/>
    <w:rsid w:val="00221D41"/>
    <w:rsid w:val="002D2D19"/>
    <w:rsid w:val="002D3FC3"/>
    <w:rsid w:val="002D6FFF"/>
    <w:rsid w:val="002F7696"/>
    <w:rsid w:val="00354C03"/>
    <w:rsid w:val="00355651"/>
    <w:rsid w:val="00362EBA"/>
    <w:rsid w:val="00367D4E"/>
    <w:rsid w:val="00367DC2"/>
    <w:rsid w:val="003A1EF7"/>
    <w:rsid w:val="003C5604"/>
    <w:rsid w:val="003D0813"/>
    <w:rsid w:val="00406244"/>
    <w:rsid w:val="00426395"/>
    <w:rsid w:val="00436712"/>
    <w:rsid w:val="004831F7"/>
    <w:rsid w:val="004972B4"/>
    <w:rsid w:val="004A2D55"/>
    <w:rsid w:val="004B195E"/>
    <w:rsid w:val="004B3BAA"/>
    <w:rsid w:val="004D3EF1"/>
    <w:rsid w:val="004D4E56"/>
    <w:rsid w:val="004F42C8"/>
    <w:rsid w:val="004F7FA0"/>
    <w:rsid w:val="00510CC1"/>
    <w:rsid w:val="00523FC7"/>
    <w:rsid w:val="0053221A"/>
    <w:rsid w:val="00532C8C"/>
    <w:rsid w:val="00544CFC"/>
    <w:rsid w:val="00553D54"/>
    <w:rsid w:val="0057664B"/>
    <w:rsid w:val="005A69BD"/>
    <w:rsid w:val="005B1031"/>
    <w:rsid w:val="00671380"/>
    <w:rsid w:val="00671B27"/>
    <w:rsid w:val="00694BE5"/>
    <w:rsid w:val="0069736E"/>
    <w:rsid w:val="006E0284"/>
    <w:rsid w:val="006E346D"/>
    <w:rsid w:val="00701455"/>
    <w:rsid w:val="00752513"/>
    <w:rsid w:val="00760595"/>
    <w:rsid w:val="00760D66"/>
    <w:rsid w:val="00785835"/>
    <w:rsid w:val="007A07E8"/>
    <w:rsid w:val="007A4CB7"/>
    <w:rsid w:val="007C7D2A"/>
    <w:rsid w:val="007F7CC5"/>
    <w:rsid w:val="0080535C"/>
    <w:rsid w:val="00811617"/>
    <w:rsid w:val="0081272A"/>
    <w:rsid w:val="008416BF"/>
    <w:rsid w:val="00852518"/>
    <w:rsid w:val="008A7BD2"/>
    <w:rsid w:val="008D09D0"/>
    <w:rsid w:val="00977440"/>
    <w:rsid w:val="00984889"/>
    <w:rsid w:val="00996C5F"/>
    <w:rsid w:val="009B7FE2"/>
    <w:rsid w:val="009E0ACE"/>
    <w:rsid w:val="009E4EBB"/>
    <w:rsid w:val="009E5456"/>
    <w:rsid w:val="00A22F84"/>
    <w:rsid w:val="00A258B9"/>
    <w:rsid w:val="00A32432"/>
    <w:rsid w:val="00A32DDD"/>
    <w:rsid w:val="00A61082"/>
    <w:rsid w:val="00A77CB1"/>
    <w:rsid w:val="00AB1114"/>
    <w:rsid w:val="00AE187F"/>
    <w:rsid w:val="00AF68B2"/>
    <w:rsid w:val="00B25F6F"/>
    <w:rsid w:val="00B427BC"/>
    <w:rsid w:val="00B45219"/>
    <w:rsid w:val="00B55F00"/>
    <w:rsid w:val="00B64D9B"/>
    <w:rsid w:val="00BC1F78"/>
    <w:rsid w:val="00C32C5C"/>
    <w:rsid w:val="00C52781"/>
    <w:rsid w:val="00C63A6B"/>
    <w:rsid w:val="00C73CB3"/>
    <w:rsid w:val="00C94156"/>
    <w:rsid w:val="00CB18EA"/>
    <w:rsid w:val="00CB24A8"/>
    <w:rsid w:val="00CE02C4"/>
    <w:rsid w:val="00CE3A1E"/>
    <w:rsid w:val="00CE7251"/>
    <w:rsid w:val="00D2209B"/>
    <w:rsid w:val="00D51942"/>
    <w:rsid w:val="00D5225A"/>
    <w:rsid w:val="00D72E68"/>
    <w:rsid w:val="00DD345C"/>
    <w:rsid w:val="00DF03BD"/>
    <w:rsid w:val="00DF6F18"/>
    <w:rsid w:val="00E05B40"/>
    <w:rsid w:val="00E07E1F"/>
    <w:rsid w:val="00E6082F"/>
    <w:rsid w:val="00E7687A"/>
    <w:rsid w:val="00E87C5F"/>
    <w:rsid w:val="00E9151D"/>
    <w:rsid w:val="00E9493F"/>
    <w:rsid w:val="00EB402C"/>
    <w:rsid w:val="00F207B2"/>
    <w:rsid w:val="00F24A3A"/>
    <w:rsid w:val="00F35B7B"/>
    <w:rsid w:val="00F42D73"/>
    <w:rsid w:val="00F526A2"/>
    <w:rsid w:val="00F90AA1"/>
    <w:rsid w:val="00F968B0"/>
    <w:rsid w:val="00FD2421"/>
    <w:rsid w:val="00FD646C"/>
    <w:rsid w:val="034833B0"/>
    <w:rsid w:val="06B31595"/>
    <w:rsid w:val="08295516"/>
    <w:rsid w:val="08C84D21"/>
    <w:rsid w:val="09E558C4"/>
    <w:rsid w:val="0A3E3315"/>
    <w:rsid w:val="0BBD163C"/>
    <w:rsid w:val="0C405504"/>
    <w:rsid w:val="11421D1E"/>
    <w:rsid w:val="1319085D"/>
    <w:rsid w:val="142E34B0"/>
    <w:rsid w:val="163F43DA"/>
    <w:rsid w:val="1C6D2903"/>
    <w:rsid w:val="1EA21346"/>
    <w:rsid w:val="1F8E7B35"/>
    <w:rsid w:val="1FF12682"/>
    <w:rsid w:val="224505A2"/>
    <w:rsid w:val="23D91976"/>
    <w:rsid w:val="26F7703F"/>
    <w:rsid w:val="2CF12CCC"/>
    <w:rsid w:val="2E6761C9"/>
    <w:rsid w:val="32742FD4"/>
    <w:rsid w:val="34176890"/>
    <w:rsid w:val="362D721C"/>
    <w:rsid w:val="376A7EC8"/>
    <w:rsid w:val="37B84192"/>
    <w:rsid w:val="39F9378A"/>
    <w:rsid w:val="3EB763B3"/>
    <w:rsid w:val="40B76A90"/>
    <w:rsid w:val="427654FD"/>
    <w:rsid w:val="42913E3D"/>
    <w:rsid w:val="45193B1A"/>
    <w:rsid w:val="45D564FC"/>
    <w:rsid w:val="46EC5343"/>
    <w:rsid w:val="476D46F8"/>
    <w:rsid w:val="4A2470FB"/>
    <w:rsid w:val="4A3E4D64"/>
    <w:rsid w:val="4C51113D"/>
    <w:rsid w:val="4F2002A2"/>
    <w:rsid w:val="50990A0A"/>
    <w:rsid w:val="52804383"/>
    <w:rsid w:val="57D52F63"/>
    <w:rsid w:val="58AC1B63"/>
    <w:rsid w:val="5A8F2AAE"/>
    <w:rsid w:val="5B4B2413"/>
    <w:rsid w:val="5C9A643B"/>
    <w:rsid w:val="5E476F2E"/>
    <w:rsid w:val="5F6E40AC"/>
    <w:rsid w:val="5FBC1319"/>
    <w:rsid w:val="60EB57D7"/>
    <w:rsid w:val="612C0848"/>
    <w:rsid w:val="68157353"/>
    <w:rsid w:val="6A144E09"/>
    <w:rsid w:val="6B9C2A21"/>
    <w:rsid w:val="6EBF1AED"/>
    <w:rsid w:val="6FB20070"/>
    <w:rsid w:val="722D2A5F"/>
    <w:rsid w:val="741B30AD"/>
    <w:rsid w:val="74EA05EB"/>
    <w:rsid w:val="754F00AF"/>
    <w:rsid w:val="76632955"/>
    <w:rsid w:val="76FE1881"/>
    <w:rsid w:val="7FC2413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iPriority="99"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Theme="minorEastAsia" w:cstheme="minorBidi"/>
      <w:kern w:val="2"/>
      <w:sz w:val="15"/>
      <w:szCs w:val="15"/>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10">
    <w:name w:val="Default Paragraph Font"/>
    <w:semiHidden/>
    <w:unhideWhenUsed/>
    <w:qFormat/>
    <w:uiPriority w:val="1"/>
  </w:style>
  <w:style w:type="table" w:default="1" w:styleId="8">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styleId="3">
    <w:name w:val="annotation text"/>
    <w:basedOn w:val="1"/>
    <w:unhideWhenUsed/>
    <w:qFormat/>
    <w:uiPriority w:val="99"/>
    <w:pPr>
      <w:jc w:val="left"/>
    </w:pPr>
  </w:style>
  <w:style w:type="paragraph" w:styleId="4">
    <w:name w:val="Balloon Text"/>
    <w:basedOn w:val="1"/>
    <w:link w:val="20"/>
    <w:qFormat/>
    <w:uiPriority w:val="0"/>
    <w:rPr>
      <w:sz w:val="18"/>
      <w:szCs w:val="18"/>
    </w:rPr>
  </w:style>
  <w:style w:type="paragraph" w:styleId="5">
    <w:name w:val="footer"/>
    <w:basedOn w:val="1"/>
    <w:link w:val="23"/>
    <w:qFormat/>
    <w:uiPriority w:val="99"/>
    <w:pPr>
      <w:tabs>
        <w:tab w:val="center" w:pos="4153"/>
        <w:tab w:val="right" w:pos="8306"/>
      </w:tabs>
      <w:snapToGrid w:val="0"/>
      <w:jc w:val="left"/>
    </w:pPr>
    <w:rPr>
      <w:sz w:val="18"/>
      <w:szCs w:val="18"/>
    </w:rPr>
  </w:style>
  <w:style w:type="paragraph" w:styleId="6">
    <w:name w:val="header"/>
    <w:basedOn w:val="1"/>
    <w:link w:val="19"/>
    <w:qFormat/>
    <w:uiPriority w:val="0"/>
    <w:pPr>
      <w:pBdr>
        <w:bottom w:val="single" w:color="auto" w:sz="6" w:space="1"/>
      </w:pBdr>
      <w:tabs>
        <w:tab w:val="center" w:pos="4153"/>
        <w:tab w:val="right" w:pos="8306"/>
      </w:tabs>
      <w:snapToGrid w:val="0"/>
      <w:jc w:val="center"/>
    </w:pPr>
    <w:rPr>
      <w:sz w:val="18"/>
      <w:szCs w:val="18"/>
    </w:rPr>
  </w:style>
  <w:style w:type="paragraph" w:styleId="7">
    <w:name w:val="Normal (Web)"/>
    <w:basedOn w:val="1"/>
    <w:qFormat/>
    <w:uiPriority w:val="99"/>
    <w:pPr>
      <w:spacing w:before="100" w:beforeAutospacing="1" w:after="100" w:afterAutospacing="1"/>
      <w:jc w:val="left"/>
    </w:pPr>
    <w:rPr>
      <w:kern w:val="0"/>
      <w:sz w:val="24"/>
    </w:rPr>
  </w:style>
  <w:style w:type="table" w:styleId="9">
    <w:name w:val="Table Grid"/>
    <w:basedOn w:val="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Strong"/>
    <w:basedOn w:val="10"/>
    <w:qFormat/>
    <w:uiPriority w:val="0"/>
    <w:rPr>
      <w:b/>
    </w:rPr>
  </w:style>
  <w:style w:type="character" w:styleId="12">
    <w:name w:val="annotation reference"/>
    <w:basedOn w:val="10"/>
    <w:qFormat/>
    <w:uiPriority w:val="0"/>
    <w:rPr>
      <w:sz w:val="21"/>
      <w:szCs w:val="21"/>
    </w:rPr>
  </w:style>
  <w:style w:type="paragraph" w:customStyle="1" w:styleId="13">
    <w:name w:val="BodyText2"/>
    <w:basedOn w:val="1"/>
    <w:qFormat/>
    <w:uiPriority w:val="0"/>
    <w:pPr>
      <w:spacing w:after="120" w:line="480" w:lineRule="auto"/>
      <w:textAlignment w:val="baseline"/>
    </w:pPr>
    <w:rPr>
      <w:rFonts w:eastAsia="宋体"/>
      <w:sz w:val="32"/>
      <w:szCs w:val="32"/>
    </w:rPr>
  </w:style>
  <w:style w:type="paragraph" w:customStyle="1" w:styleId="14">
    <w:name w:val="标准文件_段"/>
    <w:link w:val="21"/>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5">
    <w:name w:val="段"/>
    <w:qFormat/>
    <w:uiPriority w:val="0"/>
    <w:pPr>
      <w:tabs>
        <w:tab w:val="center" w:pos="4201"/>
        <w:tab w:val="right" w:leader="dot" w:pos="9298"/>
      </w:tabs>
      <w:autoSpaceDE w:val="0"/>
      <w:autoSpaceDN w:val="0"/>
      <w:ind w:firstLine="420" w:firstLineChars="200"/>
      <w:jc w:val="both"/>
    </w:pPr>
    <w:rPr>
      <w:rFonts w:ascii="宋体" w:hAnsi="Calibri" w:eastAsia="宋体" w:cs="Times New Roman"/>
      <w:sz w:val="21"/>
      <w:lang w:val="en-US" w:eastAsia="zh-CN" w:bidi="ar-SA"/>
    </w:rPr>
  </w:style>
  <w:style w:type="paragraph" w:customStyle="1" w:styleId="16">
    <w:name w:val="标准文件_章标题"/>
    <w:next w:val="14"/>
    <w:qFormat/>
    <w:uiPriority w:val="0"/>
    <w:pPr>
      <w:numPr>
        <w:ilvl w:val="1"/>
        <w:numId w:val="1"/>
      </w:numPr>
      <w:spacing w:beforeLines="100" w:afterLines="100"/>
      <w:jc w:val="both"/>
      <w:outlineLvl w:val="0"/>
    </w:pPr>
    <w:rPr>
      <w:rFonts w:ascii="黑体" w:hAnsi="Times New Roman" w:eastAsia="黑体" w:cs="Times New Roman"/>
      <w:sz w:val="21"/>
      <w:lang w:val="en-US" w:eastAsia="zh-CN" w:bidi="ar-SA"/>
    </w:rPr>
  </w:style>
  <w:style w:type="paragraph" w:customStyle="1" w:styleId="17">
    <w:name w:val="标准文件_一级条标题"/>
    <w:basedOn w:val="16"/>
    <w:next w:val="14"/>
    <w:qFormat/>
    <w:uiPriority w:val="0"/>
    <w:pPr>
      <w:numPr>
        <w:ilvl w:val="2"/>
      </w:numPr>
      <w:spacing w:beforeLines="50" w:afterLines="50"/>
      <w:outlineLvl w:val="1"/>
    </w:pPr>
  </w:style>
  <w:style w:type="character" w:customStyle="1" w:styleId="18">
    <w:name w:val="15"/>
    <w:basedOn w:val="10"/>
    <w:qFormat/>
    <w:uiPriority w:val="0"/>
    <w:rPr>
      <w:rFonts w:hint="default" w:ascii="Times New Roman" w:hAnsi="Times New Roman" w:cs="Times New Roman"/>
      <w:i/>
      <w:iCs/>
    </w:rPr>
  </w:style>
  <w:style w:type="character" w:customStyle="1" w:styleId="19">
    <w:name w:val="页眉 字符"/>
    <w:basedOn w:val="10"/>
    <w:link w:val="6"/>
    <w:qFormat/>
    <w:uiPriority w:val="0"/>
    <w:rPr>
      <w:rFonts w:eastAsiaTheme="minorEastAsia" w:cstheme="minorBidi"/>
      <w:kern w:val="2"/>
      <w:sz w:val="18"/>
      <w:szCs w:val="18"/>
    </w:rPr>
  </w:style>
  <w:style w:type="character" w:customStyle="1" w:styleId="20">
    <w:name w:val="批注框文本 字符"/>
    <w:basedOn w:val="10"/>
    <w:link w:val="4"/>
    <w:qFormat/>
    <w:uiPriority w:val="0"/>
    <w:rPr>
      <w:rFonts w:eastAsiaTheme="minorEastAsia" w:cstheme="minorBidi"/>
      <w:kern w:val="2"/>
      <w:sz w:val="18"/>
      <w:szCs w:val="18"/>
    </w:rPr>
  </w:style>
  <w:style w:type="character" w:customStyle="1" w:styleId="21">
    <w:name w:val="标准文件_段 Char"/>
    <w:link w:val="14"/>
    <w:qFormat/>
    <w:uiPriority w:val="0"/>
    <w:rPr>
      <w:rFonts w:ascii="宋体"/>
      <w:sz w:val="21"/>
    </w:rPr>
  </w:style>
  <w:style w:type="paragraph" w:customStyle="1" w:styleId="22">
    <w:name w:val="修订1"/>
    <w:hidden/>
    <w:unhideWhenUsed/>
    <w:qFormat/>
    <w:uiPriority w:val="99"/>
    <w:rPr>
      <w:rFonts w:ascii="Times New Roman" w:hAnsi="Times New Roman" w:eastAsiaTheme="minorEastAsia" w:cstheme="minorBidi"/>
      <w:kern w:val="2"/>
      <w:sz w:val="15"/>
      <w:szCs w:val="15"/>
      <w:lang w:val="en-US" w:eastAsia="zh-CN" w:bidi="ar-SA"/>
    </w:rPr>
  </w:style>
  <w:style w:type="character" w:customStyle="1" w:styleId="23">
    <w:name w:val="页脚 字符"/>
    <w:basedOn w:val="10"/>
    <w:link w:val="5"/>
    <w:qFormat/>
    <w:uiPriority w:val="99"/>
    <w:rPr>
      <w:rFonts w:eastAsiaTheme="minorEastAsia" w:cstheme="minorBidi"/>
      <w:kern w:val="2"/>
      <w:sz w:val="18"/>
      <w:szCs w:val="18"/>
    </w:rPr>
  </w:style>
  <w:style w:type="paragraph" w:customStyle="1" w:styleId="24">
    <w:name w:val="修订2"/>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25">
    <w:name w:val="标准文件_一级无标题"/>
    <w:qFormat/>
    <w:uiPriority w:val="0"/>
    <w:rPr>
      <w:rFonts w:ascii="宋体" w:hAnsi="宋体" w:eastAsia="黑体" w:cs="Times New Roman"/>
      <w:lang w:val="en-US" w:eastAsia="zh-CN" w:bidi="ar-SA"/>
    </w:rPr>
  </w:style>
  <w:style w:type="character" w:customStyle="1" w:styleId="26">
    <w:name w:val="标准文件_术语条一 Char"/>
    <w:link w:val="27"/>
    <w:qFormat/>
    <w:uiPriority w:val="0"/>
    <w:rPr>
      <w:b/>
    </w:rPr>
  </w:style>
  <w:style w:type="paragraph" w:customStyle="1" w:styleId="27">
    <w:name w:val="标准文件_术语条一"/>
    <w:basedOn w:val="25"/>
    <w:next w:val="14"/>
    <w:link w:val="26"/>
    <w:qFormat/>
    <w:uiPriority w:val="0"/>
    <w:rPr>
      <w:b/>
    </w:rPr>
  </w:style>
  <w:style w:type="paragraph" w:customStyle="1" w:styleId="28">
    <w:name w:val="标准文件_术语条二"/>
    <w:basedOn w:val="29"/>
    <w:next w:val="14"/>
    <w:qFormat/>
    <w:uiPriority w:val="0"/>
    <w:pPr>
      <w:ind w:left="567"/>
    </w:pPr>
  </w:style>
  <w:style w:type="paragraph" w:customStyle="1" w:styleId="29">
    <w:name w:val="标准文件_二级无标题"/>
    <w:basedOn w:val="30"/>
    <w:qFormat/>
    <w:uiPriority w:val="0"/>
    <w:pPr>
      <w:spacing w:beforeLines="0" w:afterLines="0"/>
      <w:outlineLvl w:val="9"/>
    </w:pPr>
    <w:rPr>
      <w:rFonts w:ascii="宋体" w:eastAsia="宋体"/>
    </w:rPr>
  </w:style>
  <w:style w:type="paragraph" w:customStyle="1" w:styleId="30">
    <w:name w:val="标准文件_二级条标题"/>
    <w:next w:val="14"/>
    <w:qFormat/>
    <w:uiPriority w:val="0"/>
    <w:pPr>
      <w:widowControl w:val="0"/>
      <w:numPr>
        <w:ilvl w:val="3"/>
        <w:numId w:val="1"/>
      </w:numPr>
      <w:spacing w:beforeLines="50" w:afterLines="50"/>
      <w:ind w:left="0"/>
      <w:jc w:val="both"/>
      <w:outlineLvl w:val="2"/>
    </w:pPr>
    <w:rPr>
      <w:rFonts w:ascii="黑体" w:hAnsi="Times New Roman" w:eastAsia="黑体" w:cs="Times New Roman"/>
      <w:sz w:val="21"/>
      <w:lang w:val="en-US" w:eastAsia="zh-CN" w:bidi="ar-SA"/>
    </w:rPr>
  </w:style>
  <w:style w:type="paragraph" w:customStyle="1" w:styleId="31">
    <w:name w:val="修订3"/>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32">
    <w:name w:val="修订4"/>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33">
    <w:name w:val="Revision"/>
    <w:hidden/>
    <w:unhideWhenUsed/>
    <w:qFormat/>
    <w:uiPriority w:val="99"/>
    <w:rPr>
      <w:rFonts w:ascii="Times New Roman" w:hAnsi="Times New Roman" w:eastAsiaTheme="minorEastAsia" w:cstheme="minorBidi"/>
      <w:kern w:val="2"/>
      <w:sz w:val="15"/>
      <w:szCs w:val="15"/>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24</Pages>
  <Words>4164</Words>
  <Characters>4479</Characters>
  <Lines>499</Lines>
  <Paragraphs>375</Paragraphs>
  <TotalTime>110</TotalTime>
  <ScaleCrop>false</ScaleCrop>
  <LinksUpToDate>false</LinksUpToDate>
  <CharactersWithSpaces>4555</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2025-04-16T13:11:00Z</dcterms:created>
  <dc:creator>Administrator</dc:creator>
  <cp:lastModifiedBy>树年强</cp:lastModifiedBy>
  <cp:lastPrinted>2025-03-05T01:34:00Z</cp:lastPrinted>
  <dcterms:modified xsi:type="dcterms:W3CDTF">2025-09-29T05:11:55Z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1DEDB43A07A948C8BDA6664743A11D45_13</vt:lpwstr>
  </property>
  <property fmtid="{D5CDD505-2E9C-101B-9397-08002B2CF9AE}" pid="4" name="KSOTemplateDocerSaveRecord">
    <vt:lpwstr>eyJoZGlkIjoiYWY4NjA4ZTNhNDA0OTdkZTkwMjdkODE1NDQyNDYyMzIiLCJ1c2VySWQiOiI2Mzk4NzAxMjYifQ==</vt:lpwstr>
  </property>
</Properties>
</file>